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A1F6" w14:textId="6EB84ADE" w:rsidR="00ED3C82" w:rsidRDefault="00ED3C82" w:rsidP="00AC6E78">
      <w:bookmarkStart w:id="0" w:name="_Hlk85810100"/>
      <w:bookmarkStart w:id="1" w:name="_Hlk5187158"/>
      <w:bookmarkStart w:id="2" w:name="_Hlk5186185"/>
      <w:bookmarkStart w:id="3" w:name="_Hlk5185676"/>
      <w:r w:rsidRPr="00DB68A6">
        <w:rPr>
          <w:b/>
          <w:bCs/>
        </w:rPr>
        <w:t>Client Account Number</w:t>
      </w:r>
      <w:r>
        <w:t>: [</w:t>
      </w:r>
      <w:sdt>
        <w:sdtPr>
          <w:alias w:val="RM to enter A number"/>
          <w:id w:val="-209954556"/>
          <w:placeholder>
            <w:docPart w:val="9FAD938F7C0B4EDD8573B2362822A282"/>
          </w:placeholder>
          <w:showingPlcHdr/>
        </w:sdtPr>
        <w:sdtEndPr/>
        <w:sdtContent>
          <w:r w:rsidR="00ED2A45" w:rsidRPr="00724EB8">
            <w:rPr>
              <w:rStyle w:val="PlaceholderText"/>
            </w:rPr>
            <w:t>Click or tap here to enter text.</w:t>
          </w:r>
        </w:sdtContent>
      </w:sdt>
      <w:r w:rsidR="00CB68A6">
        <w:t xml:space="preserve">] </w:t>
      </w:r>
      <w:r w:rsidR="009C5D23">
        <w:rPr>
          <w:highlight w:val="yellow"/>
        </w:rPr>
        <w:t>LSEG</w:t>
      </w:r>
      <w:r w:rsidR="00CB68A6">
        <w:rPr>
          <w:highlight w:val="yellow"/>
        </w:rPr>
        <w:t xml:space="preserve"> Relationship </w:t>
      </w:r>
      <w:r>
        <w:rPr>
          <w:highlight w:val="yellow"/>
        </w:rPr>
        <w:t>M</w:t>
      </w:r>
      <w:r w:rsidR="00CB68A6">
        <w:rPr>
          <w:highlight w:val="yellow"/>
        </w:rPr>
        <w:t>anager</w:t>
      </w:r>
      <w:r>
        <w:rPr>
          <w:highlight w:val="yellow"/>
        </w:rPr>
        <w:t xml:space="preserve"> to enter A Number </w:t>
      </w:r>
    </w:p>
    <w:p w14:paraId="48045DCB" w14:textId="41FAA573" w:rsidR="00ED3C82" w:rsidRPr="00EB196C" w:rsidRDefault="00ED3C82" w:rsidP="00AC6E78">
      <w:r w:rsidRPr="00DB68A6">
        <w:rPr>
          <w:b/>
          <w:bCs/>
        </w:rPr>
        <w:t>Effective Date</w:t>
      </w:r>
      <w:r w:rsidRPr="00EB196C">
        <w:t>:</w:t>
      </w:r>
      <w:r w:rsidR="00CB68A6">
        <w:t xml:space="preserve"> [</w:t>
      </w:r>
      <w:sdt>
        <w:sdtPr>
          <w:alias w:val="Effective Date"/>
          <w:tag w:val="Effective Date"/>
          <w:id w:val="-1310866324"/>
          <w:placeholder>
            <w:docPart w:val="DefaultPlaceholder_-1854013437"/>
          </w:placeholder>
          <w:date w:fullDate="2023-08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C328F">
            <w:rPr>
              <w:lang w:val="en-GB"/>
            </w:rPr>
            <w:t>10 August 2023</w:t>
          </w:r>
        </w:sdtContent>
      </w:sdt>
      <w:r w:rsidR="00CB68A6">
        <w:t xml:space="preserve">] </w:t>
      </w:r>
      <w:r w:rsidR="009C5D23">
        <w:rPr>
          <w:highlight w:val="yellow"/>
        </w:rPr>
        <w:t>LSEG</w:t>
      </w:r>
      <w:r w:rsidRPr="00DB68A6">
        <w:rPr>
          <w:highlight w:val="yellow"/>
        </w:rPr>
        <w:t xml:space="preserve"> to insert, </w:t>
      </w:r>
      <w:r>
        <w:rPr>
          <w:highlight w:val="yellow"/>
        </w:rPr>
        <w:t>must be the 1</w:t>
      </w:r>
      <w:r w:rsidRPr="006C3312">
        <w:rPr>
          <w:highlight w:val="yellow"/>
          <w:vertAlign w:val="superscript"/>
        </w:rPr>
        <w:t>st</w:t>
      </w:r>
      <w:r>
        <w:rPr>
          <w:highlight w:val="yellow"/>
        </w:rPr>
        <w:t xml:space="preserve"> working day </w:t>
      </w:r>
      <w:r w:rsidRPr="00DB68A6">
        <w:rPr>
          <w:highlight w:val="yellow"/>
        </w:rPr>
        <w:t xml:space="preserve">of a </w:t>
      </w:r>
      <w:proofErr w:type="gramStart"/>
      <w:r w:rsidRPr="00DB68A6">
        <w:rPr>
          <w:highlight w:val="yellow"/>
        </w:rPr>
        <w:t>month</w:t>
      </w:r>
      <w:proofErr w:type="gramEnd"/>
    </w:p>
    <w:bookmarkEnd w:id="0"/>
    <w:p w14:paraId="6A8EFF4C" w14:textId="77777777" w:rsidR="00ED3C82" w:rsidRDefault="00ED3C82" w:rsidP="00ED3C82">
      <w:r>
        <w:t>This Liquidity Provider Incentive Agreement (“</w:t>
      </w:r>
      <w:r>
        <w:rPr>
          <w:b/>
        </w:rPr>
        <w:t>LPI Agreement”</w:t>
      </w:r>
      <w:r>
        <w:t xml:space="preserve">), supplements and forms part of the </w:t>
      </w:r>
      <w:bookmarkStart w:id="4" w:name="OLE_LINK18"/>
      <w:r>
        <w:t>Participant Agreement</w:t>
      </w:r>
      <w:bookmarkEnd w:id="4"/>
      <w:r>
        <w:t>, and is entered into between:</w:t>
      </w:r>
    </w:p>
    <w:p w14:paraId="0AE4FC8D" w14:textId="3D6D2D2F" w:rsidR="00ED3C82" w:rsidRDefault="00ED3C82" w:rsidP="00ED3C82">
      <w:pPr>
        <w:numPr>
          <w:ilvl w:val="0"/>
          <w:numId w:val="11"/>
        </w:numPr>
        <w:spacing w:before="200"/>
        <w:ind w:left="357" w:hanging="357"/>
        <w:jc w:val="both"/>
        <w:rPr>
          <w:rFonts w:cs="Arial"/>
          <w:szCs w:val="20"/>
        </w:rPr>
      </w:pPr>
      <w:r w:rsidRPr="00AC6E78">
        <w:rPr>
          <w:rFonts w:cs="Arial"/>
          <w:b/>
          <w:szCs w:val="20"/>
        </w:rPr>
        <w:t>Financial &amp; Risk Transaction Services Ireland Limited,</w:t>
      </w:r>
      <w:r w:rsidRPr="00AC6E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company duly organized and existing under the laws of Ireland (company registration number 623891), whose registered office is at </w:t>
      </w:r>
      <w:r w:rsidRPr="00AC6E78">
        <w:rPr>
          <w:rFonts w:cs="Arial"/>
          <w:szCs w:val="20"/>
        </w:rPr>
        <w:t>12/13 Exchange Place, I.F.S.C., Dublin 1, D01P8H1, Ireland</w:t>
      </w:r>
      <w:r>
        <w:rPr>
          <w:rFonts w:cs="Arial"/>
          <w:szCs w:val="20"/>
        </w:rPr>
        <w:t xml:space="preserve"> (“</w:t>
      </w:r>
      <w:r w:rsidR="009C5D23">
        <w:rPr>
          <w:rFonts w:cs="Arial"/>
          <w:b/>
          <w:szCs w:val="20"/>
        </w:rPr>
        <w:t>LSEG</w:t>
      </w:r>
      <w:r>
        <w:rPr>
          <w:rFonts w:cs="Arial"/>
          <w:b/>
          <w:szCs w:val="20"/>
        </w:rPr>
        <w:t>”</w:t>
      </w:r>
      <w:r>
        <w:rPr>
          <w:rFonts w:cs="Arial"/>
          <w:szCs w:val="20"/>
        </w:rPr>
        <w:t xml:space="preserve">); and  </w:t>
      </w:r>
    </w:p>
    <w:p w14:paraId="0DB95CF5" w14:textId="4C9D275D" w:rsidR="00ED3C82" w:rsidRDefault="00CB68A6" w:rsidP="00131DCE">
      <w:pPr>
        <w:numPr>
          <w:ilvl w:val="0"/>
          <w:numId w:val="11"/>
        </w:numPr>
        <w:spacing w:before="200"/>
        <w:ind w:left="357" w:hanging="357"/>
        <w:rPr>
          <w:rFonts w:cs="Arial"/>
          <w:szCs w:val="20"/>
        </w:rPr>
      </w:pPr>
      <w:r>
        <w:rPr>
          <w:rFonts w:cs="Arial"/>
          <w:b/>
          <w:szCs w:val="20"/>
          <w:highlight w:val="yellow"/>
        </w:rPr>
        <w:t>Client Name</w:t>
      </w:r>
      <w:r>
        <w:t xml:space="preserve"> [</w:t>
      </w:r>
      <w:sdt>
        <w:sdtPr>
          <w:alias w:val="Client Name"/>
          <w:tag w:val="Client Name"/>
          <w:id w:val="485982118"/>
          <w:placeholder>
            <w:docPart w:val="B500E7BA376D4D3BAA90C1676E4DF83C"/>
          </w:placeholder>
          <w:showingPlcHdr/>
          <w:text/>
        </w:sdtPr>
        <w:sdtEndPr/>
        <w:sdtContent>
          <w:r w:rsidR="00AC09B7" w:rsidRPr="00724EB8">
            <w:rPr>
              <w:rStyle w:val="PlaceholderText"/>
            </w:rPr>
            <w:t>Click or tap here to enter text.</w:t>
          </w:r>
        </w:sdtContent>
      </w:sdt>
      <w:r>
        <w:t>]</w:t>
      </w:r>
      <w:r w:rsidR="00ED3C82">
        <w:rPr>
          <w:rFonts w:cs="Arial"/>
          <w:szCs w:val="20"/>
        </w:rPr>
        <w:t xml:space="preserve">, </w:t>
      </w:r>
      <w:r w:rsidR="00131DCE">
        <w:rPr>
          <w:rFonts w:cs="Arial"/>
          <w:szCs w:val="20"/>
        </w:rPr>
        <w:br/>
      </w:r>
      <w:r w:rsidR="00ED3C82">
        <w:rPr>
          <w:rFonts w:cs="Arial"/>
          <w:szCs w:val="20"/>
        </w:rPr>
        <w:t>company registered number [</w:t>
      </w:r>
      <w:sdt>
        <w:sdtPr>
          <w:rPr>
            <w:rFonts w:cs="Arial"/>
            <w:szCs w:val="20"/>
          </w:rPr>
          <w:id w:val="88046848"/>
          <w:placeholder>
            <w:docPart w:val="16C82B0CED3E48E7923E8432376B5D17"/>
          </w:placeholder>
          <w:showingPlcHdr/>
          <w:text/>
        </w:sdtPr>
        <w:sdtEndPr/>
        <w:sdtContent>
          <w:r w:rsidR="00AC09B7" w:rsidRPr="00724EB8">
            <w:rPr>
              <w:rStyle w:val="PlaceholderText"/>
            </w:rPr>
            <w:t>Click or tap here to enter text.</w:t>
          </w:r>
        </w:sdtContent>
      </w:sdt>
      <w:r w:rsidR="00131DCE">
        <w:rPr>
          <w:rFonts w:cs="Arial"/>
          <w:szCs w:val="20"/>
        </w:rPr>
        <w:t>]</w:t>
      </w:r>
      <w:r w:rsidR="00ED3C82">
        <w:rPr>
          <w:rFonts w:cs="Arial"/>
          <w:szCs w:val="20"/>
        </w:rPr>
        <w:t xml:space="preserve">, </w:t>
      </w:r>
      <w:r w:rsidR="00131DCE">
        <w:rPr>
          <w:rFonts w:cs="Arial"/>
          <w:szCs w:val="20"/>
        </w:rPr>
        <w:br/>
      </w:r>
      <w:r w:rsidR="00ED3C82">
        <w:rPr>
          <w:rFonts w:cs="Arial"/>
          <w:szCs w:val="20"/>
        </w:rPr>
        <w:t>whose registered office is located at</w:t>
      </w:r>
      <w:r w:rsidR="00131DCE">
        <w:rPr>
          <w:rFonts w:cs="Arial"/>
          <w:szCs w:val="20"/>
        </w:rPr>
        <w:t xml:space="preserve"> (</w:t>
      </w:r>
      <w:r w:rsidR="00131DCE" w:rsidRPr="00131DCE">
        <w:rPr>
          <w:rFonts w:cs="Arial"/>
          <w:szCs w:val="20"/>
          <w:highlight w:val="yellow"/>
        </w:rPr>
        <w:t>address</w:t>
      </w:r>
      <w:r w:rsidR="00131DCE">
        <w:rPr>
          <w:rFonts w:cs="Arial"/>
          <w:szCs w:val="20"/>
        </w:rPr>
        <w:t>) [</w:t>
      </w:r>
      <w:sdt>
        <w:sdtPr>
          <w:rPr>
            <w:rFonts w:cs="Arial"/>
            <w:szCs w:val="20"/>
          </w:rPr>
          <w:alias w:val="Address"/>
          <w:tag w:val="Address"/>
          <w:id w:val="-1559616199"/>
          <w:placeholder>
            <w:docPart w:val="E39675D27BCC466591AD864AC73260D7"/>
          </w:placeholder>
          <w:showingPlcHdr/>
          <w:text w:multiLine="1"/>
        </w:sdtPr>
        <w:sdtEndPr/>
        <w:sdtContent>
          <w:r w:rsidR="00AC09B7" w:rsidRPr="00724EB8">
            <w:rPr>
              <w:rStyle w:val="PlaceholderText"/>
            </w:rPr>
            <w:t>Click or tap here to enter text.</w:t>
          </w:r>
        </w:sdtContent>
      </w:sdt>
      <w:r w:rsidR="00131DCE">
        <w:rPr>
          <w:rFonts w:cs="Arial"/>
          <w:szCs w:val="20"/>
        </w:rPr>
        <w:t>]</w:t>
      </w:r>
      <w:r w:rsidR="00ED3C82">
        <w:rPr>
          <w:rFonts w:cs="Arial"/>
          <w:szCs w:val="20"/>
        </w:rPr>
        <w:t xml:space="preserve"> (</w:t>
      </w:r>
      <w:r w:rsidR="00ED3C82">
        <w:rPr>
          <w:rFonts w:cs="Arial"/>
          <w:b/>
          <w:szCs w:val="20"/>
        </w:rPr>
        <w:t>“Client”</w:t>
      </w:r>
      <w:r w:rsidR="00ED3C82">
        <w:rPr>
          <w:rFonts w:cs="Arial"/>
          <w:szCs w:val="20"/>
        </w:rPr>
        <w:t>).</w:t>
      </w:r>
    </w:p>
    <w:p w14:paraId="1B2FCB2B" w14:textId="3FFB3729" w:rsidR="00ED3C82" w:rsidRPr="00AC6E78" w:rsidRDefault="00ED3C82" w:rsidP="007E7FAE">
      <w:pPr>
        <w:pStyle w:val="Heading2"/>
        <w:numPr>
          <w:ilvl w:val="0"/>
          <w:numId w:val="0"/>
        </w:numPr>
        <w:spacing w:after="200"/>
        <w:ind w:left="360" w:hanging="360"/>
        <w:rPr>
          <w:bCs/>
        </w:rPr>
      </w:pPr>
      <w:bookmarkStart w:id="5" w:name="_Hlk5187203"/>
      <w:r>
        <w:t>Background</w:t>
      </w:r>
    </w:p>
    <w:p w14:paraId="1391F1E3" w14:textId="6E773F2F" w:rsidR="00ED3C82" w:rsidRPr="00C229A0" w:rsidRDefault="009C5D23" w:rsidP="00ED3C82">
      <w:pPr>
        <w:rPr>
          <w:b/>
        </w:rPr>
      </w:pPr>
      <w:r>
        <w:t>LSEG</w:t>
      </w:r>
      <w:r w:rsidR="00ED3C82">
        <w:t xml:space="preserve"> operates the </w:t>
      </w:r>
      <w:bookmarkStart w:id="6" w:name="OLE_LINK50"/>
      <w:r>
        <w:t xml:space="preserve">LSEG FX EU </w:t>
      </w:r>
      <w:r w:rsidR="00ED3C82">
        <w:t>MTF</w:t>
      </w:r>
      <w:bookmarkEnd w:id="6"/>
      <w:r w:rsidR="00ED3C82">
        <w:t xml:space="preserve">, </w:t>
      </w:r>
      <w:proofErr w:type="gramStart"/>
      <w:r w:rsidR="00ED3C82">
        <w:t>on</w:t>
      </w:r>
      <w:proofErr w:type="gramEnd"/>
      <w:r w:rsidR="00ED3C82">
        <w:t xml:space="preserve"> which </w:t>
      </w:r>
      <w:bookmarkStart w:id="7" w:name="OLE_LINK33"/>
      <w:r w:rsidR="00B44623">
        <w:t xml:space="preserve">the </w:t>
      </w:r>
      <w:r w:rsidR="00ED3C82">
        <w:t>Client</w:t>
      </w:r>
      <w:bookmarkEnd w:id="7"/>
      <w:r w:rsidR="00ED3C82">
        <w:t xml:space="preserve"> is a Participant.</w:t>
      </w:r>
      <w:r w:rsidR="00ED3C82">
        <w:rPr>
          <w:b/>
        </w:rPr>
        <w:t xml:space="preserve"> </w:t>
      </w:r>
      <w:r w:rsidR="00ED3C82" w:rsidRPr="00C229A0">
        <w:t xml:space="preserve">This LPI Agreement applies to </w:t>
      </w:r>
      <w:r w:rsidR="00B44623">
        <w:t xml:space="preserve">the </w:t>
      </w:r>
      <w:r w:rsidR="00ED3C82">
        <w:t>Client</w:t>
      </w:r>
      <w:r w:rsidR="00ED3C82" w:rsidRPr="00C229A0">
        <w:t xml:space="preserve">’s </w:t>
      </w:r>
      <w:bookmarkStart w:id="8" w:name="OLE_LINK5"/>
      <w:r w:rsidR="00ED3C82" w:rsidRPr="00C229A0">
        <w:t xml:space="preserve">activity on the </w:t>
      </w:r>
      <w:bookmarkEnd w:id="8"/>
      <w:r>
        <w:t>Platform</w:t>
      </w:r>
      <w:r w:rsidR="00ED3C82" w:rsidRPr="00C229A0">
        <w:t>.</w:t>
      </w:r>
    </w:p>
    <w:p w14:paraId="60F94CF5" w14:textId="77777777" w:rsidR="00ED3C82" w:rsidRDefault="00ED3C82" w:rsidP="00ED3C82">
      <w:bookmarkStart w:id="9" w:name="_Hlk5187224"/>
      <w:bookmarkEnd w:id="5"/>
      <w:r>
        <w:t xml:space="preserve">In consideration of the mutual covenants, promises and undertakings set out below, the sufficiency of which is hereby acknowledged, the parties agree as follows. </w:t>
      </w:r>
    </w:p>
    <w:p w14:paraId="570A3562" w14:textId="1F558C83" w:rsidR="00ED3C82" w:rsidRPr="006C4883" w:rsidRDefault="00ED3C82" w:rsidP="00AC6E78">
      <w:pPr>
        <w:pStyle w:val="Subheading1"/>
      </w:pPr>
      <w:bookmarkStart w:id="10" w:name="OLE_LINK14"/>
      <w:r w:rsidRPr="006C4883">
        <w:t>Definitions</w:t>
      </w:r>
    </w:p>
    <w:bookmarkEnd w:id="10"/>
    <w:p w14:paraId="3DAEDD66" w14:textId="039B4B0E" w:rsidR="00ED3C82" w:rsidRDefault="00FC328F" w:rsidP="00ED3C82">
      <w:r>
        <w:t>T</w:t>
      </w:r>
      <w:r w:rsidR="00ED3C82">
        <w:t>erms used but not defined in this LPI Agreement shall have the meaning given to them in the Participant Agreement. In this LPI Agreement, the following definitions shall apply:</w:t>
      </w:r>
    </w:p>
    <w:tbl>
      <w:tblPr>
        <w:tblStyle w:val="LSEGFXtablestyle"/>
        <w:tblW w:w="0" w:type="auto"/>
        <w:tblLook w:val="04A0" w:firstRow="1" w:lastRow="0" w:firstColumn="1" w:lastColumn="0" w:noHBand="0" w:noVBand="1"/>
      </w:tblPr>
      <w:tblGrid>
        <w:gridCol w:w="1985"/>
        <w:gridCol w:w="7539"/>
      </w:tblGrid>
      <w:tr w:rsidR="00B60197" w14:paraId="1C254B68" w14:textId="77777777" w:rsidTr="007E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5" w:type="dxa"/>
            <w:tcBorders>
              <w:bottom w:val="single" w:sz="4" w:space="0" w:color="666666"/>
            </w:tcBorders>
          </w:tcPr>
          <w:p w14:paraId="381101B0" w14:textId="72AE8C45" w:rsidR="00B60197" w:rsidRDefault="00B60197" w:rsidP="007E7FAE">
            <w:pPr>
              <w:pStyle w:val="TableTextHeading"/>
            </w:pPr>
            <w:r>
              <w:t>Term</w:t>
            </w:r>
          </w:p>
        </w:tc>
        <w:tc>
          <w:tcPr>
            <w:tcW w:w="7539" w:type="dxa"/>
            <w:tcBorders>
              <w:bottom w:val="single" w:sz="4" w:space="0" w:color="666666"/>
            </w:tcBorders>
          </w:tcPr>
          <w:p w14:paraId="7F7A914E" w14:textId="5055F401" w:rsidR="00B60197" w:rsidRDefault="00B60197" w:rsidP="007E7FAE">
            <w:pPr>
              <w:pStyle w:val="TableTextHeading"/>
            </w:pPr>
            <w:r>
              <w:t>Definition</w:t>
            </w:r>
          </w:p>
        </w:tc>
      </w:tr>
      <w:tr w:rsidR="00B60197" w:rsidRPr="007E7FAE" w14:paraId="74DC781D" w14:textId="77777777" w:rsidTr="007E7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right w:val="single" w:sz="4" w:space="0" w:color="666666"/>
            </w:tcBorders>
          </w:tcPr>
          <w:p w14:paraId="5DCAA82D" w14:textId="6F12FD01" w:rsidR="00B60197" w:rsidRPr="007E7FAE" w:rsidRDefault="00B60197" w:rsidP="007E7FAE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  <w:lang w:eastAsia="en-CA"/>
              </w:rPr>
              <w:t xml:space="preserve">Aggressor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</w:tcBorders>
          </w:tcPr>
          <w:p w14:paraId="42A2A68E" w14:textId="39E42302" w:rsidR="0094269E" w:rsidRPr="0094269E" w:rsidRDefault="007E7FAE" w:rsidP="0094269E">
            <w:pPr>
              <w:pStyle w:val="TableText"/>
            </w:pPr>
            <w:r>
              <w:rPr>
                <w:color w:val="auto"/>
                <w:lang w:eastAsia="en-CA"/>
              </w:rPr>
              <w:t>T</w:t>
            </w:r>
            <w:r w:rsidR="00B60197" w:rsidRPr="007E7FAE">
              <w:rPr>
                <w:color w:val="auto"/>
                <w:lang w:eastAsia="en-CA"/>
              </w:rPr>
              <w:t xml:space="preserve">he same meaning as Taker in the </w:t>
            </w:r>
            <w:r w:rsidR="009C5D23">
              <w:rPr>
                <w:color w:val="auto"/>
                <w:lang w:eastAsia="en-CA"/>
              </w:rPr>
              <w:t>LSEG FX EU</w:t>
            </w:r>
            <w:r w:rsidR="009C5D23" w:rsidRPr="007E7FAE">
              <w:rPr>
                <w:color w:val="auto"/>
                <w:lang w:eastAsia="en-CA"/>
              </w:rPr>
              <w:t xml:space="preserve"> </w:t>
            </w:r>
            <w:r w:rsidR="00B60197" w:rsidRPr="007E7FAE">
              <w:rPr>
                <w:color w:val="auto"/>
                <w:lang w:eastAsia="en-CA"/>
              </w:rPr>
              <w:t>Multilateral Trading Facility Rule Book.</w:t>
            </w:r>
          </w:p>
        </w:tc>
      </w:tr>
      <w:tr w:rsidR="007E7FAE" w:rsidRPr="007E7FAE" w14:paraId="14997499" w14:textId="77777777" w:rsidTr="007E7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right w:val="single" w:sz="4" w:space="0" w:color="666666"/>
            </w:tcBorders>
          </w:tcPr>
          <w:p w14:paraId="7B349E7B" w14:textId="42739FF8" w:rsidR="00B60197" w:rsidRPr="007E7FAE" w:rsidRDefault="00B60197" w:rsidP="007E7FAE">
            <w:pPr>
              <w:pStyle w:val="TableText"/>
              <w:rPr>
                <w:color w:val="auto"/>
                <w:lang w:eastAsia="en-CA"/>
              </w:rPr>
            </w:pPr>
            <w:r w:rsidRPr="007E7FAE">
              <w:rPr>
                <w:color w:val="auto"/>
              </w:rPr>
              <w:t xml:space="preserve">Aggressor Fees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</w:tcBorders>
          </w:tcPr>
          <w:p w14:paraId="2CB0C59A" w14:textId="447317E3" w:rsidR="0094269E" w:rsidRPr="0094269E" w:rsidRDefault="007E7FAE" w:rsidP="0094269E">
            <w:pPr>
              <w:pStyle w:val="TableText"/>
            </w:pPr>
            <w:r w:rsidRPr="004F7E9C">
              <w:rPr>
                <w:color w:val="auto"/>
              </w:rPr>
              <w:t>T</w:t>
            </w:r>
            <w:r w:rsidR="00B60197" w:rsidRPr="004F7E9C">
              <w:rPr>
                <w:color w:val="auto"/>
              </w:rPr>
              <w:t xml:space="preserve">he fees set out in the Incentive Rate Card in clauses </w:t>
            </w:r>
            <w:r w:rsidR="00B30EC2" w:rsidRPr="00D277AA">
              <w:fldChar w:fldCharType="begin"/>
            </w:r>
            <w:r w:rsidR="00B30EC2" w:rsidRPr="00D277AA">
              <w:rPr>
                <w:color w:val="auto"/>
              </w:rPr>
              <w:instrText xml:space="preserve"> REF _Ref141190642 \r \h  \* MERGEFORMAT </w:instrText>
            </w:r>
            <w:r w:rsidR="00B30EC2" w:rsidRPr="00D277AA">
              <w:fldChar w:fldCharType="separate"/>
            </w:r>
            <w:r w:rsidR="006966E1">
              <w:rPr>
                <w:color w:val="auto"/>
              </w:rPr>
              <w:t>2.3</w:t>
            </w:r>
            <w:r w:rsidR="00B30EC2" w:rsidRPr="00D277AA">
              <w:fldChar w:fldCharType="end"/>
            </w:r>
            <w:r w:rsidR="00B30EC2" w:rsidRPr="00D277AA">
              <w:rPr>
                <w:color w:val="auto"/>
              </w:rPr>
              <w:t xml:space="preserve"> and </w:t>
            </w:r>
            <w:r w:rsidR="00B30EC2" w:rsidRPr="00D277AA">
              <w:fldChar w:fldCharType="begin"/>
            </w:r>
            <w:r w:rsidR="00B30EC2" w:rsidRPr="00D277AA">
              <w:rPr>
                <w:color w:val="auto"/>
              </w:rPr>
              <w:instrText xml:space="preserve"> REF _Ref139470864 \r \h  \* MERGEFORMAT </w:instrText>
            </w:r>
            <w:r w:rsidR="00B30EC2" w:rsidRPr="00D277AA">
              <w:fldChar w:fldCharType="separate"/>
            </w:r>
            <w:r w:rsidR="006966E1">
              <w:rPr>
                <w:color w:val="auto"/>
              </w:rPr>
              <w:t>2.4</w:t>
            </w:r>
            <w:r w:rsidR="00B30EC2" w:rsidRPr="00D277AA">
              <w:fldChar w:fldCharType="end"/>
            </w:r>
            <w:r w:rsidR="00B60197" w:rsidRPr="004F7E9C">
              <w:rPr>
                <w:color w:val="auto"/>
              </w:rPr>
              <w:t xml:space="preserve">, which are applicable to </w:t>
            </w:r>
            <w:r w:rsidR="00B44623">
              <w:rPr>
                <w:color w:val="auto"/>
              </w:rPr>
              <w:t xml:space="preserve">the </w:t>
            </w:r>
            <w:r w:rsidR="00B60197" w:rsidRPr="004F7E9C">
              <w:rPr>
                <w:color w:val="auto"/>
              </w:rPr>
              <w:t>Client when acting as the Aggressor</w:t>
            </w:r>
            <w:r w:rsidR="00B44623">
              <w:rPr>
                <w:color w:val="auto"/>
              </w:rPr>
              <w:t xml:space="preserve">, </w:t>
            </w:r>
            <w:r w:rsidR="00B60197" w:rsidRPr="004F7E9C">
              <w:rPr>
                <w:color w:val="auto"/>
              </w:rPr>
              <w:t xml:space="preserve">rather than </w:t>
            </w:r>
            <w:r w:rsidR="00B44623">
              <w:rPr>
                <w:color w:val="auto"/>
              </w:rPr>
              <w:t xml:space="preserve">as </w:t>
            </w:r>
            <w:r w:rsidR="00B60197" w:rsidRPr="004F7E9C">
              <w:rPr>
                <w:color w:val="auto"/>
              </w:rPr>
              <w:t>the liquidity provider / Maker.</w:t>
            </w:r>
          </w:p>
        </w:tc>
      </w:tr>
      <w:tr w:rsidR="007E7FAE" w:rsidRPr="007E7FAE" w14:paraId="67DC65CF" w14:textId="77777777" w:rsidTr="007E7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right w:val="single" w:sz="4" w:space="0" w:color="666666"/>
            </w:tcBorders>
          </w:tcPr>
          <w:p w14:paraId="535A21F3" w14:textId="525417AF" w:rsidR="00B60197" w:rsidRPr="007E7FAE" w:rsidRDefault="00B60197" w:rsidP="007E7FAE">
            <w:pPr>
              <w:pStyle w:val="TableText"/>
              <w:rPr>
                <w:color w:val="auto"/>
                <w:lang w:eastAsia="en-CA"/>
              </w:rPr>
            </w:pPr>
            <w:r w:rsidRPr="007E7FAE">
              <w:rPr>
                <w:color w:val="auto"/>
                <w:lang w:eastAsia="en-CA"/>
              </w:rPr>
              <w:lastRenderedPageBreak/>
              <w:t xml:space="preserve">Assumed Aggressor Fees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</w:tcBorders>
          </w:tcPr>
          <w:p w14:paraId="43D5459D" w14:textId="4CADD690" w:rsidR="003963C1" w:rsidRPr="003963C1" w:rsidRDefault="00462269" w:rsidP="003963C1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T</w:t>
            </w:r>
            <w:r w:rsidR="00B60197" w:rsidRPr="007E7FAE">
              <w:rPr>
                <w:color w:val="auto"/>
                <w:lang w:eastAsia="en-CA"/>
              </w:rPr>
              <w:t xml:space="preserve">he meaning </w:t>
            </w:r>
            <w:r>
              <w:rPr>
                <w:color w:val="auto"/>
                <w:lang w:eastAsia="en-CA"/>
              </w:rPr>
              <w:t xml:space="preserve">is </w:t>
            </w:r>
            <w:r w:rsidR="00B60197" w:rsidRPr="007E7FAE">
              <w:rPr>
                <w:color w:val="auto"/>
                <w:lang w:eastAsia="en-CA"/>
              </w:rPr>
              <w:t xml:space="preserve">given in clause </w:t>
            </w:r>
            <w:r w:rsidR="00B60197" w:rsidRPr="007E7FAE">
              <w:rPr>
                <w:lang w:eastAsia="en-CA"/>
              </w:rPr>
              <w:fldChar w:fldCharType="begin"/>
            </w:r>
            <w:r w:rsidR="00B60197" w:rsidRPr="007E7FAE">
              <w:rPr>
                <w:color w:val="auto"/>
                <w:lang w:eastAsia="en-CA"/>
              </w:rPr>
              <w:instrText xml:space="preserve"> REF _Ref139038685 \r \h  \* MERGEFORMAT </w:instrText>
            </w:r>
            <w:r w:rsidR="00B60197" w:rsidRPr="007E7FAE">
              <w:rPr>
                <w:lang w:eastAsia="en-CA"/>
              </w:rPr>
            </w:r>
            <w:r w:rsidR="00B60197" w:rsidRPr="007E7FAE">
              <w:rPr>
                <w:lang w:eastAsia="en-CA"/>
              </w:rPr>
              <w:fldChar w:fldCharType="separate"/>
            </w:r>
            <w:r w:rsidR="006966E1">
              <w:rPr>
                <w:color w:val="auto"/>
                <w:lang w:eastAsia="en-CA"/>
              </w:rPr>
              <w:t>3.1</w:t>
            </w:r>
            <w:r w:rsidR="00B60197" w:rsidRPr="007E7FAE">
              <w:rPr>
                <w:lang w:eastAsia="en-CA"/>
              </w:rPr>
              <w:fldChar w:fldCharType="end"/>
            </w:r>
            <w:r w:rsidR="00B60197" w:rsidRPr="007E7FAE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2601CD72" w14:textId="77777777" w:rsidTr="007E7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right w:val="single" w:sz="4" w:space="0" w:color="666666"/>
            </w:tcBorders>
          </w:tcPr>
          <w:p w14:paraId="5F140454" w14:textId="2C9CDF5B" w:rsidR="00B60197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Brokerage Cap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</w:tcBorders>
          </w:tcPr>
          <w:p w14:paraId="1DF6F42B" w14:textId="34323186" w:rsidR="00B60197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The maximum aggregate amount of Transaction Fees that </w:t>
            </w:r>
            <w:bookmarkStart w:id="11" w:name="OLE_LINK34"/>
            <w:r w:rsidR="00B44623">
              <w:rPr>
                <w:color w:val="auto"/>
                <w:lang w:eastAsia="en-CA"/>
              </w:rPr>
              <w:t xml:space="preserve">the </w:t>
            </w:r>
            <w:r w:rsidRPr="00D277AA">
              <w:rPr>
                <w:color w:val="auto"/>
              </w:rPr>
              <w:t>Client</w:t>
            </w:r>
            <w:r w:rsidRPr="00D277AA">
              <w:rPr>
                <w:color w:val="auto"/>
                <w:lang w:eastAsia="en-CA"/>
              </w:rPr>
              <w:t xml:space="preserve"> </w:t>
            </w:r>
            <w:bookmarkEnd w:id="11"/>
            <w:r w:rsidRPr="00D277AA">
              <w:rPr>
                <w:color w:val="auto"/>
                <w:lang w:eastAsia="en-CA"/>
              </w:rPr>
              <w:t>will be charged in a Month when acting as the Aggressor on any Order with a Short Dated Tenor.</w:t>
            </w:r>
          </w:p>
        </w:tc>
      </w:tr>
      <w:tr w:rsidR="00D277AA" w:rsidRPr="00D277AA" w14:paraId="431F28D3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D12183" w14:textId="23E7AE40" w:rsidR="00B60197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Comparable Size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08FF3EF6" w14:textId="5073F05E" w:rsidR="00B60197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Qualifying Quotes that do not diverge by more than 50% from each other.</w:t>
            </w:r>
          </w:p>
        </w:tc>
      </w:tr>
      <w:tr w:rsidR="00D277AA" w:rsidRPr="00D277AA" w14:paraId="0F996479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809210" w14:textId="50B062F2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Competitive Prices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53702071" w14:textId="799447A6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The sum of the levels in the book of the best bid and the best offer posted by </w:t>
            </w:r>
            <w:r w:rsidR="00B44623">
              <w:rPr>
                <w:color w:val="auto"/>
                <w:lang w:eastAsia="en-CA"/>
              </w:rPr>
              <w:t xml:space="preserve">the </w:t>
            </w:r>
            <w:r w:rsidRPr="00D277AA">
              <w:rPr>
                <w:color w:val="auto"/>
              </w:rPr>
              <w:t>Client</w:t>
            </w:r>
            <w:r w:rsidRPr="00D277AA">
              <w:rPr>
                <w:color w:val="auto"/>
                <w:lang w:eastAsia="en-CA"/>
              </w:rPr>
              <w:t xml:space="preserve"> is less than or equal to five.</w:t>
            </w:r>
          </w:p>
        </w:tc>
      </w:tr>
      <w:tr w:rsidR="00D277AA" w:rsidRPr="00D277AA" w14:paraId="6D30B903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EB0E6C" w14:textId="16B97CCD" w:rsidR="00462269" w:rsidRPr="00D277AA" w:rsidRDefault="00462269" w:rsidP="00D277AA">
            <w:pPr>
              <w:pStyle w:val="TableText"/>
              <w:rPr>
                <w:color w:val="auto"/>
              </w:rPr>
            </w:pPr>
            <w:bookmarkStart w:id="12" w:name="OLE_LINK39"/>
            <w:r w:rsidRPr="00D277AA">
              <w:rPr>
                <w:color w:val="auto"/>
                <w:lang w:eastAsia="en-CA"/>
              </w:rPr>
              <w:t>Criteria</w:t>
            </w:r>
            <w:bookmarkEnd w:id="12"/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1A955027" w14:textId="64F57613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The Rate Card Criteria, Rebate Criteria and Brokerage Cap Criteria.</w:t>
            </w:r>
          </w:p>
        </w:tc>
      </w:tr>
      <w:tr w:rsidR="00D277AA" w:rsidRPr="00D277AA" w14:paraId="23E2E3B2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4FE032" w14:textId="2F005235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Curve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B58AC9D" w14:textId="642D2E2E" w:rsidR="00462269" w:rsidRPr="00D277AA" w:rsidRDefault="00B44623" w:rsidP="00D277AA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462269" w:rsidRPr="00D277AA">
              <w:rPr>
                <w:color w:val="auto"/>
              </w:rPr>
              <w:t>Client p</w:t>
            </w:r>
            <w:r w:rsidR="00462269" w:rsidRPr="003D7EE6">
              <w:rPr>
                <w:color w:val="auto"/>
              </w:rPr>
              <w:t xml:space="preserve">osts </w:t>
            </w:r>
            <w:r w:rsidR="003D7EE6" w:rsidRPr="003D7EE6">
              <w:rPr>
                <w:color w:val="auto"/>
              </w:rPr>
              <w:t>Qualifying Quotes in seven or more financial instruments for tenors that are equal to or greater than 1 Week for a particular currency pair.</w:t>
            </w:r>
          </w:p>
        </w:tc>
      </w:tr>
      <w:tr w:rsidR="00D277AA" w:rsidRPr="00D277AA" w14:paraId="78ACDC9E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C36A85" w14:textId="60E8A420" w:rsidR="00462269" w:rsidRPr="00D277AA" w:rsidRDefault="00462269" w:rsidP="00D277AA">
            <w:pPr>
              <w:pStyle w:val="TableText"/>
              <w:rPr>
                <w:color w:val="auto"/>
              </w:rPr>
            </w:pPr>
            <w:r w:rsidRPr="00D277AA">
              <w:rPr>
                <w:color w:val="auto"/>
                <w:lang w:eastAsia="en-CA"/>
              </w:rPr>
              <w:t xml:space="preserve">Effective Date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27DA3195" w14:textId="29FD689D" w:rsidR="00462269" w:rsidRPr="00D277AA" w:rsidRDefault="00DE255F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T</w:t>
            </w:r>
            <w:r w:rsidR="00462269" w:rsidRPr="00D277AA">
              <w:rPr>
                <w:color w:val="auto"/>
                <w:lang w:eastAsia="en-CA"/>
              </w:rPr>
              <w:t>he date set out at this start of this LPI Agreement</w:t>
            </w:r>
            <w:r w:rsidR="00B44623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1BB2617D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13E4D6" w14:textId="17B72D2F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Incentive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0E3ED65D" w14:textId="63FF9090" w:rsidR="00462269" w:rsidRPr="00D277AA" w:rsidRDefault="00B44623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C</w:t>
            </w:r>
            <w:r w:rsidR="00462269" w:rsidRPr="00D277AA">
              <w:rPr>
                <w:color w:val="auto"/>
                <w:lang w:eastAsia="en-CA"/>
              </w:rPr>
              <w:t xml:space="preserve">ollectively the </w:t>
            </w:r>
            <w:bookmarkStart w:id="13" w:name="OLE_LINK68"/>
            <w:r w:rsidR="00462269" w:rsidRPr="00D277AA">
              <w:rPr>
                <w:color w:val="auto"/>
                <w:lang w:eastAsia="en-CA"/>
              </w:rPr>
              <w:t>Incentive Rate Card,</w:t>
            </w:r>
            <w:bookmarkEnd w:id="13"/>
            <w:r w:rsidR="00462269" w:rsidRPr="00D277AA">
              <w:rPr>
                <w:color w:val="auto"/>
                <w:lang w:eastAsia="en-CA"/>
              </w:rPr>
              <w:t xml:space="preserve"> the </w:t>
            </w:r>
            <w:proofErr w:type="gramStart"/>
            <w:r w:rsidR="00462269" w:rsidRPr="00D277AA">
              <w:rPr>
                <w:color w:val="auto"/>
                <w:lang w:eastAsia="en-CA"/>
              </w:rPr>
              <w:t>Rebate</w:t>
            </w:r>
            <w:proofErr w:type="gramEnd"/>
            <w:r w:rsidR="00462269" w:rsidRPr="00D277AA">
              <w:rPr>
                <w:color w:val="auto"/>
                <w:lang w:eastAsia="en-CA"/>
              </w:rPr>
              <w:t xml:space="preserve"> and the Brokerage Cap.</w:t>
            </w:r>
          </w:p>
        </w:tc>
      </w:tr>
      <w:tr w:rsidR="00D277AA" w:rsidRPr="00D277AA" w14:paraId="177990B2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EE422" w14:textId="16EF190E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</w:rPr>
              <w:t>Incentive</w:t>
            </w:r>
            <w:r w:rsidRPr="00D277AA">
              <w:rPr>
                <w:color w:val="auto"/>
                <w:lang w:eastAsia="en-CA"/>
              </w:rPr>
              <w:t xml:space="preserve"> Rate Card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1F2B794" w14:textId="7D7A850A" w:rsidR="00462269" w:rsidRPr="00D277AA" w:rsidRDefault="00DE255F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T</w:t>
            </w:r>
            <w:r w:rsidR="00462269" w:rsidRPr="00D277AA">
              <w:rPr>
                <w:color w:val="auto"/>
                <w:lang w:eastAsia="en-CA"/>
              </w:rPr>
              <w:t xml:space="preserve">he rate card set out </w:t>
            </w:r>
            <w:r w:rsidR="00462269" w:rsidRPr="00D277AA">
              <w:rPr>
                <w:color w:val="auto"/>
              </w:rPr>
              <w:t xml:space="preserve">in clauses </w:t>
            </w:r>
            <w:r w:rsidR="00462269" w:rsidRPr="00D277AA">
              <w:fldChar w:fldCharType="begin"/>
            </w:r>
            <w:r w:rsidR="00462269" w:rsidRPr="00D277AA">
              <w:rPr>
                <w:color w:val="auto"/>
              </w:rPr>
              <w:instrText xml:space="preserve"> REF _Ref141190642 \r \h  \* MERGEFORMAT </w:instrText>
            </w:r>
            <w:r w:rsidR="00462269" w:rsidRPr="00D277AA">
              <w:fldChar w:fldCharType="separate"/>
            </w:r>
            <w:r w:rsidR="006966E1">
              <w:rPr>
                <w:color w:val="auto"/>
              </w:rPr>
              <w:t>2.3</w:t>
            </w:r>
            <w:r w:rsidR="00462269" w:rsidRPr="00D277AA">
              <w:fldChar w:fldCharType="end"/>
            </w:r>
            <w:r w:rsidR="00462269" w:rsidRPr="00D277AA">
              <w:rPr>
                <w:color w:val="auto"/>
              </w:rPr>
              <w:t xml:space="preserve"> and </w:t>
            </w:r>
            <w:r w:rsidR="00462269" w:rsidRPr="00D277AA">
              <w:fldChar w:fldCharType="begin"/>
            </w:r>
            <w:r w:rsidR="00462269" w:rsidRPr="00D277AA">
              <w:rPr>
                <w:color w:val="auto"/>
              </w:rPr>
              <w:instrText xml:space="preserve"> REF _Ref139470864 \r \h  \* MERGEFORMAT </w:instrText>
            </w:r>
            <w:r w:rsidR="00462269" w:rsidRPr="00D277AA">
              <w:fldChar w:fldCharType="separate"/>
            </w:r>
            <w:r w:rsidR="006966E1">
              <w:rPr>
                <w:color w:val="auto"/>
              </w:rPr>
              <w:t>2.4</w:t>
            </w:r>
            <w:r w:rsidR="00462269" w:rsidRPr="00D277AA">
              <w:fldChar w:fldCharType="end"/>
            </w:r>
            <w:r w:rsidR="00462269" w:rsidRPr="00D277AA">
              <w:rPr>
                <w:color w:val="auto"/>
              </w:rPr>
              <w:t xml:space="preserve"> </w:t>
            </w:r>
            <w:r w:rsidR="00462269" w:rsidRPr="00D277AA">
              <w:rPr>
                <w:color w:val="auto"/>
                <w:lang w:eastAsia="en-CA"/>
              </w:rPr>
              <w:t xml:space="preserve">that will apply to Forwards Matching Aggressor </w:t>
            </w:r>
            <w:bookmarkStart w:id="14" w:name="OLE_LINK19"/>
            <w:r w:rsidR="00462269" w:rsidRPr="00D277AA">
              <w:rPr>
                <w:color w:val="auto"/>
                <w:lang w:eastAsia="en-CA"/>
              </w:rPr>
              <w:t>volumes</w:t>
            </w:r>
            <w:bookmarkEnd w:id="14"/>
            <w:r w:rsidR="00462269" w:rsidRPr="00D277AA">
              <w:rPr>
                <w:color w:val="auto"/>
                <w:lang w:eastAsia="en-CA"/>
              </w:rPr>
              <w:t xml:space="preserve"> if </w:t>
            </w:r>
            <w:r w:rsidR="00B44623">
              <w:rPr>
                <w:color w:val="auto"/>
                <w:lang w:eastAsia="en-CA"/>
              </w:rPr>
              <w:t xml:space="preserve">the </w:t>
            </w:r>
            <w:r w:rsidR="00462269" w:rsidRPr="00D277AA">
              <w:rPr>
                <w:color w:val="auto"/>
                <w:lang w:eastAsia="en-CA"/>
              </w:rPr>
              <w:t>Client meets the Rate Card Criteria.</w:t>
            </w:r>
          </w:p>
        </w:tc>
      </w:tr>
      <w:tr w:rsidR="00D277AA" w:rsidRPr="00D277AA" w14:paraId="5AF828C0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FE9993" w14:textId="0AF2929C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Long Dated Tenors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1B565B45" w14:textId="0594D5B6" w:rsidR="00462269" w:rsidRPr="00D277AA" w:rsidRDefault="00DE255F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T</w:t>
            </w:r>
            <w:r w:rsidR="00462269" w:rsidRPr="00D277AA">
              <w:rPr>
                <w:color w:val="auto"/>
                <w:lang w:eastAsia="en-CA"/>
              </w:rPr>
              <w:t xml:space="preserve">enors of one week or longer </w:t>
            </w:r>
            <w:bookmarkStart w:id="15" w:name="OLE_LINK44"/>
            <w:r w:rsidR="00462269" w:rsidRPr="00D277AA">
              <w:rPr>
                <w:color w:val="auto"/>
                <w:lang w:eastAsia="en-CA"/>
              </w:rPr>
              <w:t xml:space="preserve">generated by </w:t>
            </w:r>
            <w:r w:rsidR="00B44623">
              <w:rPr>
                <w:color w:val="auto"/>
                <w:lang w:eastAsia="en-CA"/>
              </w:rPr>
              <w:t xml:space="preserve">the </w:t>
            </w:r>
            <w:r w:rsidR="00462269" w:rsidRPr="00D277AA">
              <w:rPr>
                <w:color w:val="auto"/>
                <w:lang w:eastAsia="en-CA"/>
              </w:rPr>
              <w:t xml:space="preserve">Client on the </w:t>
            </w:r>
            <w:r w:rsidR="009C5D23">
              <w:rPr>
                <w:color w:val="auto"/>
                <w:lang w:eastAsia="en-CA"/>
              </w:rPr>
              <w:t>Platform</w:t>
            </w:r>
            <w:r w:rsidR="00462269" w:rsidRPr="00D277AA">
              <w:rPr>
                <w:color w:val="auto"/>
                <w:lang w:eastAsia="en-CA"/>
              </w:rPr>
              <w:t>.</w:t>
            </w:r>
            <w:bookmarkEnd w:id="15"/>
          </w:p>
        </w:tc>
      </w:tr>
      <w:tr w:rsidR="00DE255F" w:rsidRPr="00DE255F" w14:paraId="4D4EA9A1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9947FC" w14:textId="11681428" w:rsidR="00DE255F" w:rsidRPr="00DE255F" w:rsidRDefault="00DE255F" w:rsidP="00D277AA">
            <w:pPr>
              <w:pStyle w:val="TableText"/>
              <w:rPr>
                <w:color w:val="auto"/>
                <w:lang w:eastAsia="en-CA"/>
              </w:rPr>
            </w:pPr>
            <w:r w:rsidRPr="00DE255F">
              <w:rPr>
                <w:color w:val="auto"/>
                <w:lang w:eastAsia="en-CA"/>
              </w:rPr>
              <w:t>LPI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C6B5953" w14:textId="3DE6619E" w:rsidR="00DE255F" w:rsidRPr="00DE255F" w:rsidRDefault="00DE255F" w:rsidP="00D277AA">
            <w:pPr>
              <w:pStyle w:val="TableText"/>
              <w:rPr>
                <w:color w:val="auto"/>
                <w:lang w:eastAsia="en-CA"/>
              </w:rPr>
            </w:pPr>
            <w:r w:rsidRPr="00DE255F">
              <w:rPr>
                <w:color w:val="auto"/>
              </w:rPr>
              <w:t>Liquidity Provider Incentive</w:t>
            </w:r>
            <w:r w:rsidR="00B44623">
              <w:rPr>
                <w:color w:val="auto"/>
              </w:rPr>
              <w:t>.</w:t>
            </w:r>
          </w:p>
        </w:tc>
      </w:tr>
      <w:tr w:rsidR="00D277AA" w:rsidRPr="00D277AA" w14:paraId="06D612E4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027814" w14:textId="2481C6BA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bookmarkStart w:id="16" w:name="OLE_LINK13"/>
            <w:r w:rsidRPr="00D277AA">
              <w:rPr>
                <w:color w:val="auto"/>
                <w:lang w:eastAsia="en-CA"/>
              </w:rPr>
              <w:t xml:space="preserve">Month </w:t>
            </w:r>
            <w:bookmarkEnd w:id="16"/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EC56C3C" w14:textId="0860A971" w:rsidR="00462269" w:rsidRPr="00D277AA" w:rsidRDefault="00DE255F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C</w:t>
            </w:r>
            <w:r w:rsidR="00462269" w:rsidRPr="00D277AA">
              <w:rPr>
                <w:color w:val="auto"/>
                <w:lang w:eastAsia="en-CA"/>
              </w:rPr>
              <w:t>alendar month.</w:t>
            </w:r>
          </w:p>
        </w:tc>
      </w:tr>
      <w:tr w:rsidR="00D277AA" w:rsidRPr="00D277AA" w14:paraId="25976090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2A6F82" w14:textId="210074EF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bookmarkStart w:id="17" w:name="OLE_LINK29"/>
            <w:r w:rsidRPr="00D277AA">
              <w:rPr>
                <w:color w:val="auto"/>
                <w:lang w:eastAsia="en-CA"/>
              </w:rPr>
              <w:t>Qualifying Maker Volume</w:t>
            </w:r>
            <w:bookmarkEnd w:id="17"/>
            <w:r w:rsidRPr="00D277AA">
              <w:rPr>
                <w:color w:val="auto"/>
                <w:lang w:eastAsia="en-CA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0104860D" w14:textId="4C3B21A4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The meaning is given in clause </w:t>
            </w:r>
            <w:bookmarkStart w:id="18" w:name="OLE_LINK3"/>
            <w:r w:rsidRPr="00D277AA">
              <w:rPr>
                <w:lang w:eastAsia="en-CA"/>
              </w:rPr>
              <w:fldChar w:fldCharType="begin"/>
            </w:r>
            <w:r w:rsidRPr="00D277AA">
              <w:rPr>
                <w:color w:val="auto"/>
                <w:lang w:eastAsia="en-CA"/>
              </w:rPr>
              <w:instrText xml:space="preserve"> REF _Ref139038685 \r \h  \* MERGEFORMAT </w:instrText>
            </w:r>
            <w:r w:rsidRPr="00D277AA">
              <w:rPr>
                <w:lang w:eastAsia="en-CA"/>
              </w:rPr>
            </w:r>
            <w:r w:rsidRPr="00D277AA">
              <w:rPr>
                <w:lang w:eastAsia="en-CA"/>
              </w:rPr>
              <w:fldChar w:fldCharType="separate"/>
            </w:r>
            <w:r w:rsidR="006966E1">
              <w:rPr>
                <w:color w:val="auto"/>
                <w:lang w:eastAsia="en-CA"/>
              </w:rPr>
              <w:t>3.1</w:t>
            </w:r>
            <w:r w:rsidRPr="00D277AA">
              <w:rPr>
                <w:lang w:eastAsia="en-CA"/>
              </w:rPr>
              <w:fldChar w:fldCharType="end"/>
            </w:r>
            <w:bookmarkEnd w:id="18"/>
            <w:r w:rsidRPr="00D277AA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26FC5DF7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DBA62A" w14:textId="6654E6ED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bookmarkStart w:id="19" w:name="_Hlk5187774"/>
            <w:bookmarkStart w:id="20" w:name="_Hlk5187372"/>
            <w:bookmarkStart w:id="21" w:name="_Hlk5187395"/>
            <w:r w:rsidRPr="00D277AA">
              <w:rPr>
                <w:color w:val="auto"/>
                <w:lang w:eastAsia="en-CA"/>
              </w:rPr>
              <w:t>Qualifying Quote</w:t>
            </w:r>
            <w:bookmarkEnd w:id="19"/>
            <w:bookmarkEnd w:id="20"/>
            <w:bookmarkEnd w:id="21"/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00826F81" w14:textId="21762926" w:rsidR="00462269" w:rsidRPr="00D277AA" w:rsidRDefault="00B44623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</w:rPr>
              <w:t xml:space="preserve">The </w:t>
            </w:r>
            <w:r w:rsidR="00462269" w:rsidRPr="00D277AA">
              <w:rPr>
                <w:color w:val="auto"/>
              </w:rPr>
              <w:t xml:space="preserve">Client posts simultaneous two-way quotes of Comparable Size and Competitive Prices in respect of a financial instrument </w:t>
            </w:r>
            <w:bookmarkStart w:id="22" w:name="OLE_LINK6"/>
            <w:r w:rsidR="00462269" w:rsidRPr="00D277AA">
              <w:rPr>
                <w:color w:val="auto"/>
              </w:rPr>
              <w:t xml:space="preserve">on the </w:t>
            </w:r>
            <w:r w:rsidR="009C5D23">
              <w:rPr>
                <w:color w:val="auto"/>
              </w:rPr>
              <w:t>Platform</w:t>
            </w:r>
            <w:bookmarkEnd w:id="22"/>
            <w:r w:rsidR="00462269" w:rsidRPr="00D277AA">
              <w:rPr>
                <w:rStyle w:val="FootnoteReference"/>
                <w:rFonts w:eastAsiaTheme="majorEastAsia"/>
                <w:color w:val="auto"/>
              </w:rPr>
              <w:footnoteReference w:id="1"/>
            </w:r>
            <w:r w:rsidR="00462269" w:rsidRPr="00D277AA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36F9DFB5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BE2EC3" w14:textId="09332005" w:rsidR="00462269" w:rsidRPr="00D277AA" w:rsidRDefault="00462269" w:rsidP="00D277AA">
            <w:pPr>
              <w:pStyle w:val="TableText"/>
              <w:rPr>
                <w:color w:val="auto"/>
              </w:rPr>
            </w:pPr>
            <w:r w:rsidRPr="00D277AA">
              <w:rPr>
                <w:color w:val="auto"/>
              </w:rPr>
              <w:t>Participant Agreement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5F14AB3B" w14:textId="4214968E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</w:rPr>
              <w:t xml:space="preserve">The </w:t>
            </w:r>
            <w:r w:rsidR="00B44623">
              <w:rPr>
                <w:color w:val="auto"/>
              </w:rPr>
              <w:t xml:space="preserve">agreement </w:t>
            </w:r>
            <w:r w:rsidRPr="00D277AA">
              <w:rPr>
                <w:color w:val="auto"/>
              </w:rPr>
              <w:t xml:space="preserve">between </w:t>
            </w:r>
            <w:r w:rsidR="009C5D23">
              <w:rPr>
                <w:color w:val="auto"/>
              </w:rPr>
              <w:t>LSEG</w:t>
            </w:r>
            <w:r w:rsidRPr="00D277AA">
              <w:rPr>
                <w:color w:val="auto"/>
              </w:rPr>
              <w:t xml:space="preserve"> and </w:t>
            </w:r>
            <w:r w:rsidR="00B44623">
              <w:rPr>
                <w:color w:val="auto"/>
              </w:rPr>
              <w:t xml:space="preserve">the </w:t>
            </w:r>
            <w:r w:rsidRPr="00D277AA">
              <w:rPr>
                <w:color w:val="auto"/>
              </w:rPr>
              <w:t xml:space="preserve">Client, pursuant to which </w:t>
            </w:r>
            <w:r w:rsidR="00B44623">
              <w:rPr>
                <w:color w:val="auto"/>
              </w:rPr>
              <w:t xml:space="preserve">the </w:t>
            </w:r>
            <w:r w:rsidRPr="00D277AA">
              <w:rPr>
                <w:color w:val="auto"/>
              </w:rPr>
              <w:t xml:space="preserve">Client is provided access to the </w:t>
            </w:r>
            <w:r w:rsidR="009C5D23">
              <w:rPr>
                <w:color w:val="auto"/>
              </w:rPr>
              <w:t>Platform</w:t>
            </w:r>
            <w:r w:rsidRPr="00D277AA">
              <w:rPr>
                <w:color w:val="auto"/>
              </w:rPr>
              <w:t>.</w:t>
            </w:r>
          </w:p>
        </w:tc>
      </w:tr>
      <w:tr w:rsidR="00D277AA" w:rsidRPr="00D277AA" w14:paraId="35F6C689" w14:textId="77777777" w:rsidTr="0046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70D030" w14:textId="4BFAE793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Rebate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FEF9A14" w14:textId="61E8BFE3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The meaning given in clause </w:t>
            </w:r>
            <w:bookmarkStart w:id="23" w:name="OLE_LINK1"/>
            <w:r w:rsidRPr="00D277AA">
              <w:rPr>
                <w:lang w:eastAsia="en-CA"/>
              </w:rPr>
              <w:fldChar w:fldCharType="begin"/>
            </w:r>
            <w:r w:rsidRPr="00D277AA">
              <w:rPr>
                <w:color w:val="auto"/>
                <w:lang w:eastAsia="en-CA"/>
              </w:rPr>
              <w:instrText xml:space="preserve"> REF _Ref139038685 \r \h  \* MERGEFORMAT </w:instrText>
            </w:r>
            <w:r w:rsidRPr="00D277AA">
              <w:rPr>
                <w:lang w:eastAsia="en-CA"/>
              </w:rPr>
            </w:r>
            <w:r w:rsidRPr="00D277AA">
              <w:rPr>
                <w:lang w:eastAsia="en-CA"/>
              </w:rPr>
              <w:fldChar w:fldCharType="separate"/>
            </w:r>
            <w:r w:rsidR="006966E1">
              <w:rPr>
                <w:color w:val="auto"/>
                <w:lang w:eastAsia="en-CA"/>
              </w:rPr>
              <w:t>3.1</w:t>
            </w:r>
            <w:r w:rsidRPr="00D277AA">
              <w:rPr>
                <w:lang w:eastAsia="en-CA"/>
              </w:rPr>
              <w:fldChar w:fldCharType="end"/>
            </w:r>
            <w:bookmarkEnd w:id="23"/>
            <w:r w:rsidRPr="00D277AA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5D4C7073" w14:textId="77777777" w:rsidTr="0046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542F83" w14:textId="22B3F118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Short Dated Tenor 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14:paraId="42AF61EC" w14:textId="62D15C95" w:rsidR="00462269" w:rsidRPr="00D277AA" w:rsidRDefault="00B44623" w:rsidP="00D277AA">
            <w:pPr>
              <w:pStyle w:val="TableText"/>
              <w:rPr>
                <w:color w:val="auto"/>
                <w:lang w:eastAsia="en-CA"/>
              </w:rPr>
            </w:pPr>
            <w:r>
              <w:rPr>
                <w:color w:val="auto"/>
                <w:lang w:eastAsia="en-CA"/>
              </w:rPr>
              <w:t>A</w:t>
            </w:r>
            <w:r w:rsidR="00462269" w:rsidRPr="00D277AA">
              <w:rPr>
                <w:color w:val="auto"/>
                <w:lang w:eastAsia="en-CA"/>
              </w:rPr>
              <w:t xml:space="preserve"> tenor of less than one week generated by </w:t>
            </w:r>
            <w:r>
              <w:rPr>
                <w:color w:val="auto"/>
                <w:lang w:eastAsia="en-CA"/>
              </w:rPr>
              <w:t xml:space="preserve">the </w:t>
            </w:r>
            <w:r w:rsidR="00462269" w:rsidRPr="00D277AA">
              <w:rPr>
                <w:color w:val="auto"/>
                <w:lang w:eastAsia="en-CA"/>
              </w:rPr>
              <w:t xml:space="preserve">Client on the </w:t>
            </w:r>
            <w:r w:rsidR="009C5D23">
              <w:rPr>
                <w:color w:val="auto"/>
              </w:rPr>
              <w:t>Platform</w:t>
            </w:r>
            <w:r w:rsidR="00462269" w:rsidRPr="00D277AA">
              <w:rPr>
                <w:color w:val="auto"/>
                <w:lang w:eastAsia="en-CA"/>
              </w:rPr>
              <w:t>.</w:t>
            </w:r>
          </w:p>
        </w:tc>
      </w:tr>
      <w:tr w:rsidR="00D277AA" w:rsidRPr="00D277AA" w14:paraId="63B1753D" w14:textId="77777777" w:rsidTr="007E7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85" w:type="dxa"/>
            <w:tcBorders>
              <w:top w:val="single" w:sz="4" w:space="0" w:color="666666"/>
              <w:right w:val="single" w:sz="4" w:space="0" w:color="666666"/>
            </w:tcBorders>
          </w:tcPr>
          <w:p w14:paraId="27821F52" w14:textId="7B71FD0F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>Week</w:t>
            </w:r>
          </w:p>
        </w:tc>
        <w:tc>
          <w:tcPr>
            <w:tcW w:w="7539" w:type="dxa"/>
            <w:tcBorders>
              <w:top w:val="single" w:sz="4" w:space="0" w:color="666666"/>
              <w:left w:val="single" w:sz="4" w:space="0" w:color="666666"/>
            </w:tcBorders>
          </w:tcPr>
          <w:p w14:paraId="45F85A6A" w14:textId="14BA534C" w:rsidR="00462269" w:rsidRPr="00D277AA" w:rsidRDefault="00462269" w:rsidP="00D277AA">
            <w:pPr>
              <w:pStyle w:val="TableText"/>
              <w:rPr>
                <w:color w:val="auto"/>
                <w:lang w:eastAsia="en-CA"/>
              </w:rPr>
            </w:pPr>
            <w:r w:rsidRPr="00D277AA">
              <w:rPr>
                <w:color w:val="auto"/>
                <w:lang w:eastAsia="en-CA"/>
              </w:rPr>
              <w:t xml:space="preserve">“Spot a Week” </w:t>
            </w:r>
            <w:r w:rsidRPr="00D277AA">
              <w:rPr>
                <w:color w:val="auto"/>
              </w:rPr>
              <w:t xml:space="preserve">on the </w:t>
            </w:r>
            <w:r w:rsidR="009C5D23">
              <w:rPr>
                <w:color w:val="auto"/>
              </w:rPr>
              <w:t>Platform</w:t>
            </w:r>
            <w:r w:rsidRPr="00D277AA">
              <w:rPr>
                <w:color w:val="auto"/>
              </w:rPr>
              <w:t>.</w:t>
            </w:r>
          </w:p>
        </w:tc>
      </w:tr>
    </w:tbl>
    <w:p w14:paraId="716C0519" w14:textId="77777777" w:rsidR="00D277AA" w:rsidRDefault="00D277AA" w:rsidP="00ED3C82"/>
    <w:p w14:paraId="2EDE8ADF" w14:textId="25A6844A" w:rsidR="00ED3C82" w:rsidRPr="008262F6" w:rsidRDefault="00ED3C82" w:rsidP="00AC6E78">
      <w:pPr>
        <w:pStyle w:val="Subheading1"/>
      </w:pPr>
      <w:bookmarkStart w:id="24" w:name="_Ref140570013"/>
      <w:bookmarkStart w:id="25" w:name="OLE_LINK15"/>
      <w:bookmarkEnd w:id="1"/>
      <w:bookmarkEnd w:id="2"/>
      <w:bookmarkEnd w:id="3"/>
      <w:bookmarkEnd w:id="9"/>
      <w:r>
        <w:t>Incentive</w:t>
      </w:r>
      <w:r w:rsidRPr="00514FE9">
        <w:t xml:space="preserve"> R</w:t>
      </w:r>
      <w:r>
        <w:t>ate</w:t>
      </w:r>
      <w:r w:rsidRPr="00514FE9">
        <w:t xml:space="preserve"> C</w:t>
      </w:r>
      <w:r>
        <w:t>ard</w:t>
      </w:r>
      <w:bookmarkEnd w:id="24"/>
    </w:p>
    <w:p w14:paraId="2A824941" w14:textId="17E69393" w:rsidR="00ED3C82" w:rsidRPr="000F6767" w:rsidRDefault="00ED3C82" w:rsidP="00AC6E78">
      <w:pPr>
        <w:pStyle w:val="subheading2"/>
      </w:pPr>
      <w:bookmarkStart w:id="26" w:name="OLE_LINK36"/>
      <w:bookmarkStart w:id="27" w:name="_Ref139470858"/>
      <w:r>
        <w:t xml:space="preserve">If </w:t>
      </w:r>
      <w:r w:rsidR="00B44623">
        <w:t xml:space="preserve">the </w:t>
      </w:r>
      <w:r>
        <w:t>Client makes one or more Curves for at least three hours each Trading Day on at least 75% of all Trading Days in a Month (“</w:t>
      </w:r>
      <w:r>
        <w:rPr>
          <w:b/>
          <w:bCs/>
        </w:rPr>
        <w:t>Rate Card</w:t>
      </w:r>
      <w:r>
        <w:t xml:space="preserve"> </w:t>
      </w:r>
      <w:r>
        <w:rPr>
          <w:b/>
          <w:bCs/>
        </w:rPr>
        <w:t>Criteria</w:t>
      </w:r>
      <w:r>
        <w:t xml:space="preserve">”), the Incentive Rate Card will apply as set out in this clause </w:t>
      </w:r>
      <w:r>
        <w:fldChar w:fldCharType="begin"/>
      </w:r>
      <w:r>
        <w:instrText xml:space="preserve"> REF _Ref140570013 \r \h </w:instrText>
      </w:r>
      <w:r>
        <w:fldChar w:fldCharType="separate"/>
      </w:r>
      <w:r w:rsidR="006966E1">
        <w:t>2</w:t>
      </w:r>
      <w:r>
        <w:fldChar w:fldCharType="end"/>
      </w:r>
      <w:r>
        <w:t>.</w:t>
      </w:r>
    </w:p>
    <w:bookmarkEnd w:id="26"/>
    <w:p w14:paraId="5426DD3A" w14:textId="1D958472" w:rsidR="00ED3C82" w:rsidRPr="00826406" w:rsidRDefault="009C5D23" w:rsidP="00AC6E78">
      <w:pPr>
        <w:pStyle w:val="subheading2"/>
      </w:pPr>
      <w:r>
        <w:t>LSEG</w:t>
      </w:r>
      <w:r w:rsidR="00ED3C82" w:rsidRPr="00826406">
        <w:t xml:space="preserve"> will apply the </w:t>
      </w:r>
      <w:bookmarkStart w:id="28" w:name="OLE_LINK30"/>
      <w:r w:rsidR="00ED3C82" w:rsidRPr="00826406">
        <w:t xml:space="preserve">Incentive Rate Card </w:t>
      </w:r>
      <w:bookmarkStart w:id="29" w:name="OLE_LINK24"/>
      <w:bookmarkEnd w:id="28"/>
      <w:r w:rsidR="00ED3C82" w:rsidRPr="00826406">
        <w:t>to Forwards Matching volumes</w:t>
      </w:r>
      <w:bookmarkEnd w:id="29"/>
      <w:r w:rsidR="00ED3C82" w:rsidRPr="00826406">
        <w:t xml:space="preserve"> where </w:t>
      </w:r>
      <w:r w:rsidR="00B44623">
        <w:rPr>
          <w:lang w:val="en-GB" w:eastAsia="en-GB"/>
        </w:rPr>
        <w:t xml:space="preserve">the </w:t>
      </w:r>
      <w:r w:rsidR="00ED3C82" w:rsidRPr="00826406">
        <w:t>Client acts as the Aggressor, as follows:</w:t>
      </w:r>
    </w:p>
    <w:p w14:paraId="4A3FADEC" w14:textId="639257FE" w:rsidR="00ED3C82" w:rsidRDefault="00ED3C82" w:rsidP="00AC6E78">
      <w:pPr>
        <w:pStyle w:val="subheading3"/>
      </w:pPr>
      <w:bookmarkStart w:id="30" w:name="_Ref139470079"/>
      <w:r>
        <w:lastRenderedPageBreak/>
        <w:t xml:space="preserve">For the first three Months from the Effective Date, </w:t>
      </w:r>
      <w:r w:rsidR="009C5D23">
        <w:t>LSEG</w:t>
      </w:r>
      <w:r>
        <w:t xml:space="preserve"> will apply the </w:t>
      </w:r>
      <w:bookmarkStart w:id="31" w:name="OLE_LINK49"/>
      <w:bookmarkStart w:id="32" w:name="OLE_LINK52"/>
      <w:r>
        <w:t>Incentive Rate Card</w:t>
      </w:r>
      <w:bookmarkEnd w:id="31"/>
      <w:bookmarkEnd w:id="32"/>
      <w:r>
        <w:t>.</w:t>
      </w:r>
      <w:bookmarkEnd w:id="30"/>
      <w:r>
        <w:t xml:space="preserve"> </w:t>
      </w:r>
    </w:p>
    <w:p w14:paraId="045DB687" w14:textId="4B238694" w:rsidR="00ED3C82" w:rsidRDefault="00ED3C82" w:rsidP="00AC6E78">
      <w:pPr>
        <w:pStyle w:val="subheading3"/>
      </w:pPr>
      <w:r>
        <w:t xml:space="preserve">Thereafter, </w:t>
      </w:r>
      <w:r w:rsidR="009C5D23">
        <w:t>LSEG</w:t>
      </w:r>
      <w:r>
        <w:t xml:space="preserve"> will apply the Incentive Rate Card </w:t>
      </w:r>
      <w:r>
        <w:rPr>
          <w:lang w:val="en-GB" w:eastAsia="en-GB"/>
        </w:rPr>
        <w:t xml:space="preserve">to the three Months </w:t>
      </w:r>
      <w:r w:rsidRPr="00F2266C">
        <w:rPr>
          <w:lang w:val="en-GB" w:eastAsia="en-GB"/>
        </w:rPr>
        <w:t xml:space="preserve">following </w:t>
      </w:r>
      <w:r w:rsidRPr="00A75168">
        <w:rPr>
          <w:lang w:val="en-GB" w:eastAsia="en-GB"/>
        </w:rPr>
        <w:t>any</w:t>
      </w:r>
      <w:r w:rsidRPr="00F2266C">
        <w:rPr>
          <w:lang w:val="en-GB" w:eastAsia="en-GB"/>
        </w:rPr>
        <w:t xml:space="preserve"> Month</w:t>
      </w:r>
      <w:r>
        <w:rPr>
          <w:lang w:val="en-GB" w:eastAsia="en-GB"/>
        </w:rPr>
        <w:t xml:space="preserve"> in which </w:t>
      </w:r>
      <w:bookmarkStart w:id="33" w:name="OLE_LINK22"/>
      <w:r w:rsidR="00B44623">
        <w:rPr>
          <w:lang w:val="en-GB" w:eastAsia="en-GB"/>
        </w:rPr>
        <w:t xml:space="preserve">the </w:t>
      </w:r>
      <w:bookmarkEnd w:id="33"/>
      <w:r>
        <w:rPr>
          <w:lang w:val="en-GB" w:eastAsia="en-GB"/>
        </w:rPr>
        <w:t xml:space="preserve">Client </w:t>
      </w:r>
      <w:r>
        <w:t xml:space="preserve">meets the </w:t>
      </w:r>
      <w:bookmarkStart w:id="34" w:name="OLE_LINK35"/>
      <w:r>
        <w:rPr>
          <w:rFonts w:cs="Arial"/>
        </w:rPr>
        <w:t xml:space="preserve">Rate Card </w:t>
      </w:r>
      <w:r>
        <w:t>Criteria</w:t>
      </w:r>
      <w:bookmarkEnd w:id="34"/>
      <w:r>
        <w:t xml:space="preserve">. </w:t>
      </w:r>
      <w:r>
        <w:rPr>
          <w:rFonts w:cs="Arial"/>
          <w:szCs w:val="20"/>
        </w:rPr>
        <w:t xml:space="preserve">If </w:t>
      </w:r>
      <w:r w:rsidR="00B44623">
        <w:rPr>
          <w:lang w:val="en-GB" w:eastAsia="en-GB"/>
        </w:rPr>
        <w:t xml:space="preserve">the </w:t>
      </w:r>
      <w:r>
        <w:rPr>
          <w:rFonts w:cs="Arial"/>
          <w:szCs w:val="20"/>
        </w:rPr>
        <w:t xml:space="preserve">Client does not meet the </w:t>
      </w:r>
      <w:r>
        <w:rPr>
          <w:rFonts w:cs="Arial"/>
        </w:rPr>
        <w:t xml:space="preserve">Rate Card </w:t>
      </w:r>
      <w:r>
        <w:t>Criteria</w:t>
      </w:r>
      <w:r>
        <w:rPr>
          <w:rFonts w:cs="Arial"/>
          <w:szCs w:val="20"/>
        </w:rPr>
        <w:t xml:space="preserve"> in at least one of those three Months, the Incentive Rate Card will not apply from the fourth Month onwards, until </w:t>
      </w:r>
      <w:r w:rsidR="00B4462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Client meets the </w:t>
      </w:r>
      <w:r>
        <w:rPr>
          <w:rFonts w:cs="Arial"/>
        </w:rPr>
        <w:t xml:space="preserve">Rate Card </w:t>
      </w:r>
      <w:r>
        <w:t>Criteria</w:t>
      </w:r>
      <w:r>
        <w:rPr>
          <w:rFonts w:cs="Arial"/>
          <w:szCs w:val="20"/>
        </w:rPr>
        <w:t>.</w:t>
      </w:r>
    </w:p>
    <w:p w14:paraId="4148D162" w14:textId="77777777" w:rsidR="00ED3C82" w:rsidRPr="00AC6E78" w:rsidRDefault="00ED3C82" w:rsidP="00AC6E78">
      <w:pPr>
        <w:pStyle w:val="subheading2"/>
        <w:rPr>
          <w:b/>
          <w:bCs/>
        </w:rPr>
      </w:pPr>
      <w:bookmarkStart w:id="35" w:name="_Ref141190642"/>
      <w:r w:rsidRPr="00AC6E78">
        <w:rPr>
          <w:b/>
          <w:bCs/>
        </w:rPr>
        <w:t>Short Dated Tenors</w:t>
      </w:r>
      <w:bookmarkEnd w:id="27"/>
      <w:bookmarkEnd w:id="35"/>
    </w:p>
    <w:tbl>
      <w:tblPr>
        <w:tblStyle w:val="LSEGFXtablestyle"/>
        <w:tblW w:w="0" w:type="auto"/>
        <w:tblLook w:val="04A0" w:firstRow="1" w:lastRow="0" w:firstColumn="1" w:lastColumn="0" w:noHBand="0" w:noVBand="1"/>
      </w:tblPr>
      <w:tblGrid>
        <w:gridCol w:w="3780"/>
        <w:gridCol w:w="2160"/>
        <w:gridCol w:w="2106"/>
      </w:tblGrid>
      <w:tr w:rsidR="00ED3C82" w14:paraId="413D068A" w14:textId="77777777" w:rsidTr="0082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0" w:type="dxa"/>
            <w:tcBorders>
              <w:bottom w:val="single" w:sz="4" w:space="0" w:color="666666"/>
            </w:tcBorders>
            <w:shd w:val="clear" w:color="auto" w:fill="auto"/>
          </w:tcPr>
          <w:p w14:paraId="21957D56" w14:textId="77777777" w:rsidR="00ED3C82" w:rsidRDefault="00ED3C82" w:rsidP="00ED3C82">
            <w:pPr>
              <w:pStyle w:val="TableTextHeading"/>
            </w:pPr>
          </w:p>
        </w:tc>
        <w:tc>
          <w:tcPr>
            <w:tcW w:w="4266" w:type="dxa"/>
            <w:gridSpan w:val="2"/>
            <w:tcBorders>
              <w:top w:val="nil"/>
              <w:bottom w:val="single" w:sz="4" w:space="0" w:color="FFFFFF" w:themeColor="background1"/>
            </w:tcBorders>
            <w:hideMark/>
          </w:tcPr>
          <w:p w14:paraId="7EF612D2" w14:textId="77777777" w:rsidR="00ED3C82" w:rsidRDefault="00ED3C82" w:rsidP="00ED3C82">
            <w:pPr>
              <w:pStyle w:val="TableTextHeading"/>
            </w:pPr>
            <w:r>
              <w:rPr>
                <w:bCs/>
              </w:rPr>
              <w:t>Aggressor Fees (per USD $M)</w:t>
            </w:r>
          </w:p>
        </w:tc>
      </w:tr>
      <w:tr w:rsidR="00ED3C82" w14:paraId="0C82BFF9" w14:textId="77777777" w:rsidTr="0082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0" w:type="dxa"/>
            <w:tcBorders>
              <w:top w:val="single" w:sz="4" w:space="0" w:color="666666"/>
              <w:bottom w:val="nil"/>
            </w:tcBorders>
            <w:shd w:val="clear" w:color="auto" w:fill="0000FF"/>
            <w:hideMark/>
          </w:tcPr>
          <w:p w14:paraId="5D30A689" w14:textId="77777777" w:rsidR="00ED3C82" w:rsidRDefault="00ED3C82" w:rsidP="00ED3C82">
            <w:pPr>
              <w:pStyle w:val="TableTextHeading"/>
            </w:pPr>
            <w:r>
              <w:t>Aggressor volume USD $B</w:t>
            </w:r>
          </w:p>
          <w:p w14:paraId="2E71BDC5" w14:textId="77777777" w:rsidR="00ED3C82" w:rsidRDefault="00ED3C82" w:rsidP="00ED3C82">
            <w:pPr>
              <w:pStyle w:val="TableTextHeading"/>
            </w:pPr>
            <w:r>
              <w:t>(marginal tiers)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nil"/>
            </w:tcBorders>
            <w:shd w:val="clear" w:color="auto" w:fill="0000FF"/>
            <w:hideMark/>
          </w:tcPr>
          <w:p w14:paraId="5C8A0CE6" w14:textId="77777777" w:rsidR="00ED3C82" w:rsidRDefault="00ED3C82" w:rsidP="00ED3C82">
            <w:pPr>
              <w:pStyle w:val="TableTextHeading"/>
            </w:pPr>
            <w:r>
              <w:t>EUR/USD</w:t>
            </w:r>
          </w:p>
        </w:tc>
        <w:tc>
          <w:tcPr>
            <w:tcW w:w="2106" w:type="dxa"/>
            <w:tcBorders>
              <w:top w:val="single" w:sz="4" w:space="0" w:color="FFFFFF" w:themeColor="background1"/>
              <w:bottom w:val="nil"/>
            </w:tcBorders>
            <w:shd w:val="clear" w:color="auto" w:fill="0000FF"/>
            <w:hideMark/>
          </w:tcPr>
          <w:p w14:paraId="371DC7B2" w14:textId="77777777" w:rsidR="00ED3C82" w:rsidRDefault="00ED3C82" w:rsidP="00ED3C82">
            <w:pPr>
              <w:pStyle w:val="TableTextHeading"/>
            </w:pPr>
            <w:r>
              <w:t>Other currency pairs</w:t>
            </w:r>
          </w:p>
        </w:tc>
      </w:tr>
      <w:tr w:rsidR="00AC6E78" w:rsidRPr="00AC6E78" w14:paraId="730763AB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nil"/>
              <w:right w:val="single" w:sz="4" w:space="0" w:color="666666"/>
            </w:tcBorders>
            <w:hideMark/>
          </w:tcPr>
          <w:p w14:paraId="0F0B71CD" w14:textId="77777777" w:rsidR="00ED3C82" w:rsidRPr="00AC6E78" w:rsidRDefault="00ED3C82" w:rsidP="00AC6E78">
            <w:pPr>
              <w:pStyle w:val="TableText"/>
              <w:rPr>
                <w:color w:val="auto"/>
              </w:rPr>
            </w:pPr>
            <w:r w:rsidRPr="00AC6E78">
              <w:rPr>
                <w:color w:val="auto"/>
              </w:rPr>
              <w:t xml:space="preserve">0-20 </w:t>
            </w:r>
          </w:p>
        </w:tc>
        <w:tc>
          <w:tcPr>
            <w:tcW w:w="2160" w:type="dxa"/>
            <w:tcBorders>
              <w:top w:val="nil"/>
              <w:left w:val="single" w:sz="4" w:space="0" w:color="666666"/>
              <w:right w:val="single" w:sz="4" w:space="0" w:color="666666"/>
            </w:tcBorders>
            <w:hideMark/>
          </w:tcPr>
          <w:p w14:paraId="45197DBE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$0.20</w:t>
            </w:r>
          </w:p>
        </w:tc>
        <w:tc>
          <w:tcPr>
            <w:tcW w:w="2106" w:type="dxa"/>
            <w:tcBorders>
              <w:top w:val="nil"/>
              <w:left w:val="single" w:sz="4" w:space="0" w:color="666666"/>
            </w:tcBorders>
            <w:hideMark/>
          </w:tcPr>
          <w:p w14:paraId="7DF9CBAB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$0.40</w:t>
            </w:r>
          </w:p>
        </w:tc>
      </w:tr>
      <w:tr w:rsidR="00AC6E78" w:rsidRPr="00AC6E78" w14:paraId="4E99EBD3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7D877D65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&gt;20-30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51E289A5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$0.10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7AC765D1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$0.30 </w:t>
            </w:r>
          </w:p>
        </w:tc>
      </w:tr>
      <w:tr w:rsidR="00AC6E78" w:rsidRPr="00AC6E78" w14:paraId="428D96E2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01F8E2E2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&gt;30-40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4424BACA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$0.10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501EA430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$0.20 </w:t>
            </w:r>
          </w:p>
        </w:tc>
      </w:tr>
      <w:tr w:rsidR="00AC6E78" w:rsidRPr="00AC6E78" w14:paraId="3F0AAF56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4CE246F3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&gt;40-100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1FC8B2DE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$0.10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7182B946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$0.10 </w:t>
            </w:r>
          </w:p>
        </w:tc>
      </w:tr>
      <w:tr w:rsidR="00AC6E78" w:rsidRPr="00AC6E78" w14:paraId="1AD69EED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17F5484B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&gt;100-200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37E314C0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$0.075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1D9FE9BC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$0.075</w:t>
            </w:r>
          </w:p>
        </w:tc>
      </w:tr>
      <w:tr w:rsidR="00AC6E78" w:rsidRPr="00AC6E78" w14:paraId="6DE7FA20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369BA478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&gt;200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0C01562E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$0.05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2A53DA3C" w14:textId="77777777" w:rsidR="00ED3C82" w:rsidRPr="00AC6E78" w:rsidRDefault="00ED3C82" w:rsidP="00AC6E78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$0.05</w:t>
            </w:r>
          </w:p>
        </w:tc>
      </w:tr>
    </w:tbl>
    <w:p w14:paraId="77737EA7" w14:textId="77777777" w:rsidR="00ED3C82" w:rsidRPr="00AC6E78" w:rsidRDefault="00ED3C82" w:rsidP="00AC6E78">
      <w:pPr>
        <w:spacing w:after="120"/>
      </w:pPr>
    </w:p>
    <w:p w14:paraId="24CED590" w14:textId="77777777" w:rsidR="00ED3C82" w:rsidRPr="00AC6E78" w:rsidRDefault="00ED3C82" w:rsidP="003E1017">
      <w:pPr>
        <w:rPr>
          <w:rFonts w:eastAsiaTheme="minorHAnsi"/>
        </w:rPr>
      </w:pPr>
      <w:r w:rsidRPr="00AC6E78">
        <w:rPr>
          <w:rFonts w:eastAsia="Calibri"/>
        </w:rPr>
        <w:t>Aggressor Fees for</w:t>
      </w:r>
      <w:r w:rsidRPr="00AC6E78">
        <w:t xml:space="preserve"> S</w:t>
      </w:r>
      <w:r w:rsidRPr="00AC6E78">
        <w:rPr>
          <w:rFonts w:eastAsia="Calibri"/>
        </w:rPr>
        <w:t>hort Dated Tenors</w:t>
      </w:r>
      <w:r w:rsidRPr="00AC6E78">
        <w:rPr>
          <w:rFonts w:eastAsiaTheme="minorHAnsi"/>
        </w:rPr>
        <w:t xml:space="preserve"> </w:t>
      </w:r>
      <w:r w:rsidRPr="00AC6E78">
        <w:rPr>
          <w:rFonts w:eastAsia="Calibri"/>
        </w:rPr>
        <w:t>are calculated as follows</w:t>
      </w:r>
      <w:r w:rsidRPr="00AC6E78">
        <w:rPr>
          <w:rFonts w:eastAsiaTheme="minorHAnsi"/>
        </w:rPr>
        <w:t>:</w:t>
      </w:r>
    </w:p>
    <w:p w14:paraId="16BFE627" w14:textId="77777777" w:rsidR="00ED3C82" w:rsidRPr="00410E6B" w:rsidRDefault="00ED3C82" w:rsidP="00AC6E78">
      <w:pPr>
        <w:pStyle w:val="letter"/>
        <w:numPr>
          <w:ilvl w:val="0"/>
          <w:numId w:val="33"/>
        </w:numPr>
        <w:ind w:left="993" w:hanging="426"/>
      </w:pPr>
      <w:r>
        <w:t>total volume in EUR/</w:t>
      </w:r>
      <w:proofErr w:type="gramStart"/>
      <w:r>
        <w:t>USD</w:t>
      </w:r>
      <w:r w:rsidRPr="00410E6B">
        <w:t>;</w:t>
      </w:r>
      <w:proofErr w:type="gramEnd"/>
      <w:r w:rsidRPr="00410E6B">
        <w:t xml:space="preserve"> </w:t>
      </w:r>
    </w:p>
    <w:p w14:paraId="592530C3" w14:textId="77777777" w:rsidR="00ED3C82" w:rsidRDefault="00ED3C82" w:rsidP="00AC6E78">
      <w:pPr>
        <w:pStyle w:val="subheading3"/>
      </w:pPr>
      <w:r>
        <w:t>a</w:t>
      </w:r>
      <w:r w:rsidRPr="002E4F02">
        <w:t>ggregated volume for all “other currency pairs”</w:t>
      </w:r>
      <w:r>
        <w:rPr>
          <w:rStyle w:val="FootnoteReference"/>
          <w:rFonts w:eastAsiaTheme="majorEastAsia"/>
        </w:rPr>
        <w:footnoteReference w:id="2"/>
      </w:r>
      <w:r w:rsidRPr="00410E6B">
        <w:t xml:space="preserve">. </w:t>
      </w:r>
    </w:p>
    <w:p w14:paraId="7C228ED8" w14:textId="77777777" w:rsidR="00ED3C82" w:rsidRPr="003E1017" w:rsidRDefault="00ED3C82" w:rsidP="003E1017">
      <w:pPr>
        <w:pStyle w:val="subheading2"/>
        <w:keepNext/>
        <w:rPr>
          <w:b/>
          <w:bCs/>
        </w:rPr>
      </w:pPr>
      <w:bookmarkStart w:id="36" w:name="_Ref139470864"/>
      <w:r w:rsidRPr="003E1017">
        <w:rPr>
          <w:b/>
          <w:bCs/>
        </w:rPr>
        <w:t>Long Dated Tenors</w:t>
      </w:r>
      <w:bookmarkEnd w:id="36"/>
    </w:p>
    <w:tbl>
      <w:tblPr>
        <w:tblStyle w:val="LSEGFXtablestyle"/>
        <w:tblW w:w="0" w:type="auto"/>
        <w:tblLook w:val="04A0" w:firstRow="1" w:lastRow="0" w:firstColumn="1" w:lastColumn="0" w:noHBand="0" w:noVBand="1"/>
      </w:tblPr>
      <w:tblGrid>
        <w:gridCol w:w="3780"/>
        <w:gridCol w:w="2160"/>
        <w:gridCol w:w="2106"/>
      </w:tblGrid>
      <w:tr w:rsidR="00ED3C82" w14:paraId="67F9CACE" w14:textId="77777777" w:rsidTr="007E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0" w:type="dxa"/>
            <w:tcBorders>
              <w:bottom w:val="nil"/>
            </w:tcBorders>
            <w:shd w:val="clear" w:color="auto" w:fill="auto"/>
          </w:tcPr>
          <w:p w14:paraId="54CEE7EF" w14:textId="77777777" w:rsidR="00ED3C82" w:rsidRDefault="00ED3C82" w:rsidP="00ED3C82">
            <w:pPr>
              <w:pStyle w:val="TableTextHeading"/>
            </w:pPr>
          </w:p>
        </w:tc>
        <w:tc>
          <w:tcPr>
            <w:tcW w:w="4266" w:type="dxa"/>
            <w:gridSpan w:val="2"/>
            <w:tcBorders>
              <w:top w:val="nil"/>
              <w:bottom w:val="single" w:sz="4" w:space="0" w:color="FFFFFF" w:themeColor="background1"/>
            </w:tcBorders>
            <w:hideMark/>
          </w:tcPr>
          <w:p w14:paraId="20A4A926" w14:textId="77777777" w:rsidR="00ED3C82" w:rsidRDefault="00ED3C82" w:rsidP="00ED3C82">
            <w:pPr>
              <w:pStyle w:val="TableTextHeading"/>
            </w:pPr>
            <w:bookmarkStart w:id="37" w:name="OLE_LINK45"/>
            <w:r>
              <w:rPr>
                <w:bCs/>
              </w:rPr>
              <w:t>Aggressor Fees (per USD $M)</w:t>
            </w:r>
            <w:bookmarkEnd w:id="37"/>
          </w:p>
        </w:tc>
      </w:tr>
      <w:tr w:rsidR="00ED3C82" w14:paraId="5F0B4F0F" w14:textId="77777777" w:rsidTr="007E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0" w:type="dxa"/>
            <w:tcBorders>
              <w:top w:val="nil"/>
            </w:tcBorders>
            <w:shd w:val="clear" w:color="auto" w:fill="0000FF"/>
            <w:hideMark/>
          </w:tcPr>
          <w:p w14:paraId="74E61CEB" w14:textId="77777777" w:rsidR="00ED3C82" w:rsidRDefault="00ED3C82" w:rsidP="00ED3C82">
            <w:pPr>
              <w:pStyle w:val="TableTextHeading"/>
            </w:pPr>
            <w:r>
              <w:t>Tenor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shd w:val="clear" w:color="auto" w:fill="0000FF"/>
            <w:hideMark/>
          </w:tcPr>
          <w:p w14:paraId="3AF06CA4" w14:textId="77777777" w:rsidR="00ED3C82" w:rsidRDefault="00ED3C82" w:rsidP="00ED3C82">
            <w:pPr>
              <w:pStyle w:val="TableTextHeading"/>
            </w:pPr>
            <w:r>
              <w:t>EUR/USD</w:t>
            </w:r>
          </w:p>
        </w:tc>
        <w:tc>
          <w:tcPr>
            <w:tcW w:w="21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FF"/>
            <w:hideMark/>
          </w:tcPr>
          <w:p w14:paraId="3484A06D" w14:textId="77777777" w:rsidR="00ED3C82" w:rsidRDefault="00ED3C82" w:rsidP="00ED3C82">
            <w:pPr>
              <w:pStyle w:val="TableTextHeading"/>
            </w:pPr>
            <w:r>
              <w:t>Other currency pairs</w:t>
            </w:r>
          </w:p>
        </w:tc>
      </w:tr>
      <w:tr w:rsidR="00AC6E78" w:rsidRPr="00AC6E78" w14:paraId="4A62044A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4FE4EE01" w14:textId="77777777" w:rsidR="00ED3C82" w:rsidRPr="00AC6E78" w:rsidRDefault="00ED3C82" w:rsidP="00826406">
            <w:pPr>
              <w:pStyle w:val="TableText"/>
              <w:rPr>
                <w:color w:val="auto"/>
              </w:rPr>
            </w:pPr>
            <w:r w:rsidRPr="00AC6E78">
              <w:rPr>
                <w:color w:val="auto"/>
              </w:rPr>
              <w:t xml:space="preserve">1 Week 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1C8B8A5C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$0.30</w:t>
            </w:r>
          </w:p>
        </w:tc>
        <w:tc>
          <w:tcPr>
            <w:tcW w:w="2106" w:type="dxa"/>
            <w:tcBorders>
              <w:top w:val="single" w:sz="4" w:space="0" w:color="FFFFFF" w:themeColor="background1"/>
              <w:left w:val="single" w:sz="4" w:space="0" w:color="666666"/>
            </w:tcBorders>
            <w:hideMark/>
          </w:tcPr>
          <w:p w14:paraId="3047B7C6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$0.50</w:t>
            </w:r>
          </w:p>
        </w:tc>
      </w:tr>
      <w:tr w:rsidR="00AC6E78" w:rsidRPr="00AC6E78" w14:paraId="734DBCDF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2D4B7129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2 Weeks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42410969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$0.40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5412E0FA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$0.60</w:t>
            </w:r>
          </w:p>
        </w:tc>
      </w:tr>
      <w:tr w:rsidR="00AC6E78" w:rsidRPr="00AC6E78" w14:paraId="6D2512B4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08539FFD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3 Weeks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0B2D72D2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$0.50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699AA7D2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$0.70</w:t>
            </w:r>
          </w:p>
        </w:tc>
      </w:tr>
      <w:tr w:rsidR="00AC6E78" w:rsidRPr="00AC6E78" w14:paraId="3B7E5BB1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424B876A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1 Month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6696C971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$0.60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41BAEF62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$0.90 </w:t>
            </w:r>
          </w:p>
        </w:tc>
      </w:tr>
      <w:tr w:rsidR="00AC6E78" w:rsidRPr="00AC6E78" w14:paraId="2609B422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79906E03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2-3 Months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34D96BB1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$0.90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14052FDC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$1.35 </w:t>
            </w:r>
          </w:p>
        </w:tc>
      </w:tr>
      <w:tr w:rsidR="00AC6E78" w:rsidRPr="00AC6E78" w14:paraId="1D90887F" w14:textId="77777777" w:rsidTr="00826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505271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4-6 Months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D77ADF0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$1.50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hideMark/>
          </w:tcPr>
          <w:p w14:paraId="2358B7D1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$2.25 </w:t>
            </w:r>
          </w:p>
        </w:tc>
      </w:tr>
      <w:tr w:rsidR="00AC6E78" w:rsidRPr="00AC6E78" w14:paraId="1B316FA4" w14:textId="77777777" w:rsidTr="0082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4CD1331F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>7 or more Months</w:t>
            </w:r>
          </w:p>
        </w:tc>
        <w:tc>
          <w:tcPr>
            <w:tcW w:w="216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10A314F1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$2.70 </w:t>
            </w:r>
          </w:p>
        </w:tc>
        <w:tc>
          <w:tcPr>
            <w:tcW w:w="2106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5B670B82" w14:textId="77777777" w:rsidR="00ED3C82" w:rsidRPr="00AC6E78" w:rsidRDefault="00ED3C82" w:rsidP="00826406">
            <w:pPr>
              <w:pStyle w:val="TableText"/>
              <w:rPr>
                <w:color w:val="auto"/>
                <w:szCs w:val="20"/>
              </w:rPr>
            </w:pPr>
            <w:r w:rsidRPr="00AC6E78">
              <w:rPr>
                <w:color w:val="auto"/>
                <w:szCs w:val="20"/>
              </w:rPr>
              <w:t xml:space="preserve">$4.05 </w:t>
            </w:r>
          </w:p>
        </w:tc>
      </w:tr>
    </w:tbl>
    <w:p w14:paraId="5294B241" w14:textId="30C5F8CC" w:rsidR="00ED3C82" w:rsidRPr="006C4883" w:rsidRDefault="00ED3C82" w:rsidP="00AC6E78">
      <w:pPr>
        <w:pStyle w:val="Subheading1"/>
      </w:pPr>
      <w:r w:rsidRPr="006C4883">
        <w:lastRenderedPageBreak/>
        <w:t>R</w:t>
      </w:r>
      <w:r w:rsidR="00826406" w:rsidRPr="006C4883">
        <w:t>ebate</w:t>
      </w:r>
    </w:p>
    <w:p w14:paraId="2D8752FD" w14:textId="35DAB737" w:rsidR="00ED3C82" w:rsidRDefault="009C5D23" w:rsidP="00B44623">
      <w:pPr>
        <w:pStyle w:val="subheading2"/>
        <w:jc w:val="both"/>
        <w:rPr>
          <w:lang w:eastAsia="en-GB"/>
        </w:rPr>
      </w:pPr>
      <w:bookmarkStart w:id="38" w:name="_Ref139038685"/>
      <w:r>
        <w:rPr>
          <w:lang w:eastAsia="en-GB"/>
        </w:rPr>
        <w:t>LSEG</w:t>
      </w:r>
      <w:r w:rsidR="00ED3C82" w:rsidRPr="12978360">
        <w:rPr>
          <w:lang w:eastAsia="en-GB"/>
        </w:rPr>
        <w:t xml:space="preserve"> will aggregate </w:t>
      </w:r>
      <w:r w:rsidR="00B44623">
        <w:rPr>
          <w:lang w:val="en-GB" w:eastAsia="en-GB"/>
        </w:rPr>
        <w:t xml:space="preserve">the </w:t>
      </w:r>
      <w:r w:rsidR="00ED3C82" w:rsidRPr="12978360">
        <w:rPr>
          <w:lang w:eastAsia="en-GB"/>
        </w:rPr>
        <w:t>Client’s Maker volume in a Month across Long Dated Tenors (“</w:t>
      </w:r>
      <w:r w:rsidR="00ED3C82" w:rsidRPr="12978360">
        <w:rPr>
          <w:b/>
          <w:bCs/>
          <w:lang w:eastAsia="en-GB"/>
        </w:rPr>
        <w:t>Qualifying Maker Volume</w:t>
      </w:r>
      <w:r w:rsidR="00ED3C82" w:rsidRPr="12978360">
        <w:rPr>
          <w:lang w:eastAsia="en-GB"/>
        </w:rPr>
        <w:t xml:space="preserve">”) and will apply the Aggressor Fees to such Qualifying Maker Volume (as if </w:t>
      </w:r>
      <w:r w:rsidR="00B44623">
        <w:rPr>
          <w:lang w:val="en-GB" w:eastAsia="en-GB"/>
        </w:rPr>
        <w:t xml:space="preserve">the </w:t>
      </w:r>
      <w:r w:rsidR="00ED3C82" w:rsidRPr="12978360">
        <w:rPr>
          <w:lang w:eastAsia="en-GB"/>
        </w:rPr>
        <w:t>Client were acting as the Aggressor to such Transactions) to calculate the “</w:t>
      </w:r>
      <w:bookmarkStart w:id="39" w:name="OLE_LINK2"/>
      <w:r w:rsidR="00ED3C82" w:rsidRPr="12978360">
        <w:rPr>
          <w:b/>
          <w:bCs/>
          <w:lang w:eastAsia="en-GB"/>
        </w:rPr>
        <w:t>Assumed Aggressor Fees</w:t>
      </w:r>
      <w:bookmarkEnd w:id="39"/>
      <w:r w:rsidR="00ED3C82" w:rsidRPr="12978360">
        <w:rPr>
          <w:lang w:eastAsia="en-GB"/>
        </w:rPr>
        <w:t xml:space="preserve">”. </w:t>
      </w:r>
      <w:r>
        <w:rPr>
          <w:lang w:eastAsia="en-GB"/>
        </w:rPr>
        <w:t>LSEG</w:t>
      </w:r>
      <w:r w:rsidR="00ED3C82" w:rsidRPr="12978360">
        <w:rPr>
          <w:lang w:eastAsia="en-GB"/>
        </w:rPr>
        <w:t xml:space="preserve"> will then apply the relevant rebate percentage set out in the table below towards the Assumed Aggressor Fees, to reduce the Aggressor Fees that would otherwise be payable by </w:t>
      </w:r>
      <w:r w:rsidR="00B44623">
        <w:rPr>
          <w:lang w:val="en-GB" w:eastAsia="en-GB"/>
        </w:rPr>
        <w:t xml:space="preserve">the </w:t>
      </w:r>
      <w:r w:rsidR="00ED3C82" w:rsidRPr="12978360">
        <w:rPr>
          <w:lang w:eastAsia="en-GB"/>
        </w:rPr>
        <w:t>Client in its capacity as an Aggressor ("</w:t>
      </w:r>
      <w:r w:rsidR="00ED3C82" w:rsidRPr="12978360">
        <w:rPr>
          <w:b/>
          <w:bCs/>
          <w:lang w:eastAsia="en-GB"/>
        </w:rPr>
        <w:t>Rebate</w:t>
      </w:r>
      <w:r w:rsidR="00ED3C82" w:rsidRPr="12978360">
        <w:rPr>
          <w:lang w:eastAsia="en-GB"/>
        </w:rPr>
        <w:t>”) as follows:</w:t>
      </w:r>
    </w:p>
    <w:p w14:paraId="56425F5E" w14:textId="693D093E" w:rsidR="00ED3C82" w:rsidRDefault="00ED3C82" w:rsidP="00B44623">
      <w:pPr>
        <w:pStyle w:val="letter"/>
        <w:numPr>
          <w:ilvl w:val="0"/>
          <w:numId w:val="31"/>
        </w:numPr>
        <w:ind w:left="993" w:hanging="426"/>
        <w:jc w:val="both"/>
      </w:pPr>
      <w:bookmarkStart w:id="40" w:name="OLE_LINK9"/>
      <w:bookmarkStart w:id="41" w:name="OLE_LINK17"/>
      <w:bookmarkEnd w:id="38"/>
      <w:r>
        <w:t xml:space="preserve">If </w:t>
      </w:r>
      <w:r w:rsidR="00B44623">
        <w:rPr>
          <w:lang w:val="en-GB" w:eastAsia="en-GB"/>
        </w:rPr>
        <w:t xml:space="preserve">the </w:t>
      </w:r>
      <w:r>
        <w:t xml:space="preserve">Client makes one or two Curves </w:t>
      </w:r>
      <w:bookmarkStart w:id="42" w:name="OLE_LINK38"/>
      <w:r>
        <w:t xml:space="preserve">for at least three hours each Trading Day on at least 75% of all Trading </w:t>
      </w:r>
      <w:r w:rsidRPr="00BD1993">
        <w:t>Days in a Month</w:t>
      </w:r>
      <w:bookmarkEnd w:id="42"/>
      <w:r w:rsidRPr="00BD1993">
        <w:t>, a Rebate of 25% will apply</w:t>
      </w:r>
      <w:r>
        <w:t>; and</w:t>
      </w:r>
    </w:p>
    <w:bookmarkEnd w:id="40"/>
    <w:p w14:paraId="0E9B46C0" w14:textId="2243E5DD" w:rsidR="00ED3C82" w:rsidRDefault="00ED3C82" w:rsidP="00B44623">
      <w:pPr>
        <w:pStyle w:val="subheading3"/>
        <w:jc w:val="both"/>
        <w:rPr>
          <w:rFonts w:cs="Arial"/>
          <w:szCs w:val="20"/>
        </w:rPr>
      </w:pPr>
      <w:r>
        <w:t>I</w:t>
      </w:r>
      <w:r w:rsidRPr="00BD1993">
        <w:t xml:space="preserve">f </w:t>
      </w:r>
      <w:r w:rsidR="00B44623">
        <w:rPr>
          <w:lang w:val="en-GB" w:eastAsia="en-GB"/>
        </w:rPr>
        <w:t xml:space="preserve">the </w:t>
      </w:r>
      <w:r w:rsidRPr="00BD1993">
        <w:t xml:space="preserve">Client makes additional Curves </w:t>
      </w:r>
      <w:r>
        <w:t xml:space="preserve">(above the initial two) </w:t>
      </w:r>
      <w:r w:rsidRPr="00BD1993">
        <w:t>for at least five hours each Trading Day on at least</w:t>
      </w:r>
      <w:r>
        <w:rPr>
          <w:rFonts w:cs="Arial"/>
          <w:szCs w:val="20"/>
        </w:rPr>
        <w:t xml:space="preserve"> 75% of all Trading Days in a Month, </w:t>
      </w:r>
      <w:bookmarkEnd w:id="41"/>
      <w:r>
        <w:rPr>
          <w:rFonts w:cs="Arial"/>
          <w:szCs w:val="20"/>
        </w:rPr>
        <w:t>a Rebate of 50% or higher (as set out in the table below) will apply,</w:t>
      </w:r>
    </w:p>
    <w:p w14:paraId="75F5E580" w14:textId="77777777" w:rsidR="00ED3C82" w:rsidRPr="005A59EC" w:rsidRDefault="00ED3C82" w:rsidP="0094269E">
      <w:pPr>
        <w:ind w:left="256" w:firstLine="737"/>
        <w:rPr>
          <w:b/>
          <w:bCs/>
        </w:rPr>
      </w:pPr>
      <w:r w:rsidRPr="00B44623">
        <w:t>(“</w:t>
      </w:r>
      <w:r w:rsidRPr="005A59EC">
        <w:rPr>
          <w:b/>
          <w:bCs/>
        </w:rPr>
        <w:t>Rebate Criteria</w:t>
      </w:r>
      <w:r w:rsidRPr="00B44623">
        <w:t>”).</w:t>
      </w:r>
      <w:r w:rsidRPr="005A59EC">
        <w:rPr>
          <w:b/>
          <w:bCs/>
        </w:rPr>
        <w:t xml:space="preserve"> </w:t>
      </w:r>
    </w:p>
    <w:p w14:paraId="3D8F6801" w14:textId="5529A8BD" w:rsidR="00ED3C82" w:rsidRDefault="009C5D23" w:rsidP="00B44623">
      <w:pPr>
        <w:pStyle w:val="subheading3"/>
        <w:jc w:val="both"/>
      </w:pPr>
      <w:bookmarkStart w:id="43" w:name="OLE_LINK27"/>
      <w:r>
        <w:t>LSEG</w:t>
      </w:r>
      <w:r w:rsidR="00ED3C82" w:rsidRPr="00E80CF2">
        <w:t xml:space="preserve"> will apply the Rebate </w:t>
      </w:r>
      <w:r w:rsidR="00ED3C82">
        <w:t xml:space="preserve">to </w:t>
      </w:r>
      <w:r w:rsidR="00ED3C82" w:rsidRPr="00E80CF2">
        <w:t xml:space="preserve">the </w:t>
      </w:r>
      <w:r w:rsidR="00ED3C82">
        <w:t>M</w:t>
      </w:r>
      <w:r w:rsidR="00ED3C82" w:rsidRPr="00E80CF2">
        <w:t xml:space="preserve">onth </w:t>
      </w:r>
      <w:r w:rsidR="00ED3C82">
        <w:t xml:space="preserve">after which </w:t>
      </w:r>
      <w:r w:rsidR="00B44623">
        <w:rPr>
          <w:lang w:val="en-GB" w:eastAsia="en-GB"/>
        </w:rPr>
        <w:t xml:space="preserve">the </w:t>
      </w:r>
      <w:r w:rsidR="00ED3C82" w:rsidRPr="00E80CF2">
        <w:t xml:space="preserve">Client </w:t>
      </w:r>
      <w:r w:rsidR="00ED3C82">
        <w:t>meets the Rebate Criteria</w:t>
      </w:r>
      <w:r w:rsidR="00ED3C82" w:rsidRPr="00E80CF2">
        <w:t xml:space="preserve">. </w:t>
      </w:r>
    </w:p>
    <w:bookmarkEnd w:id="43"/>
    <w:p w14:paraId="28345B53" w14:textId="45327298" w:rsidR="00ED3C82" w:rsidRPr="00455C9D" w:rsidRDefault="00ED3C82" w:rsidP="00B44623">
      <w:pPr>
        <w:pStyle w:val="subheading3"/>
        <w:jc w:val="both"/>
      </w:pPr>
      <w:r w:rsidRPr="00455C9D">
        <w:t xml:space="preserve">The Rebate will not exceed the </w:t>
      </w:r>
      <w:r>
        <w:t xml:space="preserve">Transaction </w:t>
      </w:r>
      <w:r w:rsidRPr="00455C9D">
        <w:t xml:space="preserve">Fees payable </w:t>
      </w:r>
      <w:r>
        <w:t xml:space="preserve">by </w:t>
      </w:r>
      <w:r w:rsidR="00B44623">
        <w:rPr>
          <w:lang w:val="en-GB" w:eastAsia="en-GB"/>
        </w:rPr>
        <w:t xml:space="preserve">the </w:t>
      </w:r>
      <w:r>
        <w:t xml:space="preserve">Client in its capacity as an Aggressor </w:t>
      </w:r>
      <w:r w:rsidRPr="00455C9D">
        <w:t>in the Month in which the Rebate applies. The Rebate for EUR/USD will be applied against Aggressor Fees for EUR/USD, and the Rebate for all other currency pairs will be applied against Aggressor Fees for “other currency pairs”.</w:t>
      </w:r>
    </w:p>
    <w:tbl>
      <w:tblPr>
        <w:tblStyle w:val="LSEGFXtablestyle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ED3C82" w14:paraId="1ADDBA24" w14:textId="77777777" w:rsidTr="00ED2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  <w:tcBorders>
              <w:bottom w:val="nil"/>
            </w:tcBorders>
            <w:hideMark/>
          </w:tcPr>
          <w:p w14:paraId="61159C35" w14:textId="77777777" w:rsidR="00ED3C82" w:rsidRDefault="00ED3C82" w:rsidP="00826406">
            <w:pPr>
              <w:pStyle w:val="TableTextHeading"/>
            </w:pPr>
            <w:r>
              <w:t>Number of Curves</w:t>
            </w:r>
          </w:p>
        </w:tc>
        <w:tc>
          <w:tcPr>
            <w:tcW w:w="3402" w:type="dxa"/>
            <w:tcBorders>
              <w:bottom w:val="nil"/>
            </w:tcBorders>
            <w:hideMark/>
          </w:tcPr>
          <w:p w14:paraId="15167D9D" w14:textId="77777777" w:rsidR="00ED3C82" w:rsidRDefault="00ED3C82" w:rsidP="00826406">
            <w:pPr>
              <w:pStyle w:val="TableTextHeading"/>
            </w:pPr>
            <w:bookmarkStart w:id="44" w:name="OLE_LINK72"/>
            <w:r>
              <w:t>Rebate percentage</w:t>
            </w:r>
            <w:bookmarkEnd w:id="44"/>
          </w:p>
        </w:tc>
      </w:tr>
      <w:tr w:rsidR="007E7FAE" w:rsidRPr="007E7FAE" w14:paraId="513F6265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  <w:tcBorders>
              <w:top w:val="nil"/>
              <w:right w:val="single" w:sz="4" w:space="0" w:color="666666"/>
            </w:tcBorders>
            <w:hideMark/>
          </w:tcPr>
          <w:p w14:paraId="473AC335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1-2</w:t>
            </w:r>
          </w:p>
        </w:tc>
        <w:tc>
          <w:tcPr>
            <w:tcW w:w="3402" w:type="dxa"/>
            <w:tcBorders>
              <w:top w:val="nil"/>
              <w:left w:val="single" w:sz="4" w:space="0" w:color="666666"/>
            </w:tcBorders>
            <w:hideMark/>
          </w:tcPr>
          <w:p w14:paraId="345F90B6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25%</w:t>
            </w:r>
          </w:p>
        </w:tc>
      </w:tr>
      <w:tr w:rsidR="007E7FAE" w:rsidRPr="007E7FAE" w14:paraId="69DC1EAF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6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07AE9316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3-4</w:t>
            </w:r>
          </w:p>
        </w:tc>
        <w:tc>
          <w:tcPr>
            <w:tcW w:w="3402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4F4D7707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50%</w:t>
            </w:r>
          </w:p>
        </w:tc>
      </w:tr>
      <w:tr w:rsidR="007E7FAE" w:rsidRPr="007E7FAE" w14:paraId="06992B38" w14:textId="77777777" w:rsidTr="00ED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3C9202EE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5-6</w:t>
            </w:r>
          </w:p>
        </w:tc>
        <w:tc>
          <w:tcPr>
            <w:tcW w:w="3402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488738C1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75%</w:t>
            </w:r>
          </w:p>
        </w:tc>
      </w:tr>
      <w:tr w:rsidR="007E7FAE" w:rsidRPr="007E7FAE" w14:paraId="7E70E540" w14:textId="77777777" w:rsidTr="00ED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56" w:type="dxa"/>
            <w:tcBorders>
              <w:top w:val="single" w:sz="4" w:space="0" w:color="666666"/>
              <w:right w:val="single" w:sz="4" w:space="0" w:color="666666"/>
            </w:tcBorders>
            <w:hideMark/>
          </w:tcPr>
          <w:p w14:paraId="3D1BB46C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7+</w:t>
            </w:r>
          </w:p>
        </w:tc>
        <w:tc>
          <w:tcPr>
            <w:tcW w:w="3402" w:type="dxa"/>
            <w:tcBorders>
              <w:top w:val="single" w:sz="4" w:space="0" w:color="666666"/>
              <w:left w:val="single" w:sz="4" w:space="0" w:color="666666"/>
            </w:tcBorders>
            <w:hideMark/>
          </w:tcPr>
          <w:p w14:paraId="6AE56C19" w14:textId="77777777" w:rsidR="00ED3C82" w:rsidRPr="007E7FAE" w:rsidRDefault="00ED3C82" w:rsidP="00826406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100%</w:t>
            </w:r>
          </w:p>
        </w:tc>
      </w:tr>
    </w:tbl>
    <w:p w14:paraId="4C17D74A" w14:textId="77777777" w:rsidR="00ED3C82" w:rsidRPr="00B60197" w:rsidRDefault="00ED3C82" w:rsidP="00B60197"/>
    <w:p w14:paraId="49AB0248" w14:textId="72374DDC" w:rsidR="00ED3C82" w:rsidRDefault="00ED3C82" w:rsidP="00AC6E78">
      <w:pPr>
        <w:pStyle w:val="Subheading1"/>
      </w:pPr>
      <w:bookmarkStart w:id="45" w:name="_Ref139038758"/>
      <w:bookmarkEnd w:id="25"/>
      <w:r>
        <w:t>B</w:t>
      </w:r>
      <w:r w:rsidR="00826406">
        <w:t>rokerage Cap</w:t>
      </w:r>
    </w:p>
    <w:p w14:paraId="40835A2D" w14:textId="11E95E16" w:rsidR="00ED3C82" w:rsidRPr="006C3312" w:rsidRDefault="009C5D23" w:rsidP="00B44623">
      <w:pPr>
        <w:pStyle w:val="subheading2"/>
        <w:jc w:val="both"/>
        <w:rPr>
          <w:lang w:val="en-GB" w:eastAsia="en-GB"/>
        </w:rPr>
      </w:pPr>
      <w:r>
        <w:rPr>
          <w:lang w:val="en-GB" w:eastAsia="en-GB"/>
        </w:rPr>
        <w:t>LSEG</w:t>
      </w:r>
      <w:r w:rsidR="00ED3C82">
        <w:rPr>
          <w:lang w:val="en-GB" w:eastAsia="en-GB"/>
        </w:rPr>
        <w:t xml:space="preserve"> will apply </w:t>
      </w:r>
      <w:r w:rsidR="00ED3C82">
        <w:t xml:space="preserve">a Brokerage Cap of USD 25,000 towards </w:t>
      </w:r>
      <w:r w:rsidR="00B44623">
        <w:rPr>
          <w:lang w:val="en-GB" w:eastAsia="en-GB"/>
        </w:rPr>
        <w:t xml:space="preserve">the </w:t>
      </w:r>
      <w:r w:rsidR="00ED3C82">
        <w:t>Client’s Aggressor Fees as follows:</w:t>
      </w:r>
    </w:p>
    <w:p w14:paraId="1D9884AB" w14:textId="5A8C8B5B" w:rsidR="00ED3C82" w:rsidRPr="007E7FAE" w:rsidRDefault="00ED3C82" w:rsidP="00B44623">
      <w:pPr>
        <w:pStyle w:val="letter"/>
        <w:numPr>
          <w:ilvl w:val="0"/>
          <w:numId w:val="30"/>
        </w:numPr>
        <w:ind w:left="993" w:hanging="426"/>
        <w:jc w:val="both"/>
        <w:rPr>
          <w:lang w:val="en-GB" w:eastAsia="en-GB"/>
        </w:rPr>
      </w:pPr>
      <w:r w:rsidRPr="007E7FAE">
        <w:rPr>
          <w:lang w:val="en-GB" w:eastAsia="en-GB"/>
        </w:rPr>
        <w:t xml:space="preserve">If </w:t>
      </w:r>
      <w:r w:rsidR="00B44623">
        <w:rPr>
          <w:lang w:val="en-GB" w:eastAsia="en-GB"/>
        </w:rPr>
        <w:t xml:space="preserve">the </w:t>
      </w:r>
      <w:r w:rsidRPr="007E7FAE">
        <w:rPr>
          <w:lang w:val="en-GB" w:eastAsia="en-GB"/>
        </w:rPr>
        <w:t>Client makes two Curves for at least three hours each Trading Day on at least 75% of all Trading Days in a Month, and at least one additional Curve (above the initial two) for at least five hours each Trading Day on at least 75% of all Trading Days in a Month (“</w:t>
      </w:r>
      <w:r w:rsidRPr="007E7FAE">
        <w:rPr>
          <w:b/>
          <w:bCs/>
          <w:lang w:val="en-GB" w:eastAsia="en-GB"/>
        </w:rPr>
        <w:t>Brokerage Cap Criteria</w:t>
      </w:r>
      <w:r w:rsidRPr="007E7FAE">
        <w:rPr>
          <w:lang w:val="en-GB" w:eastAsia="en-GB"/>
        </w:rPr>
        <w:t>").</w:t>
      </w:r>
    </w:p>
    <w:p w14:paraId="7BBABD0F" w14:textId="6B2CCEED" w:rsidR="00ED3C82" w:rsidRPr="00A35379" w:rsidRDefault="009C5D23" w:rsidP="00B44623">
      <w:pPr>
        <w:pStyle w:val="subheading3"/>
        <w:jc w:val="both"/>
        <w:rPr>
          <w:lang w:val="en-GB" w:eastAsia="en-GB"/>
        </w:rPr>
      </w:pPr>
      <w:r>
        <w:rPr>
          <w:lang w:val="en-GB" w:eastAsia="en-GB"/>
        </w:rPr>
        <w:t>LSEG</w:t>
      </w:r>
      <w:r w:rsidR="00ED3C82" w:rsidRPr="00B479E4">
        <w:rPr>
          <w:lang w:val="en-GB" w:eastAsia="en-GB"/>
        </w:rPr>
        <w:t xml:space="preserve"> will apply the </w:t>
      </w:r>
      <w:r w:rsidR="00ED3C82">
        <w:rPr>
          <w:lang w:val="en-GB" w:eastAsia="en-GB"/>
        </w:rPr>
        <w:t xml:space="preserve">Brokerage Cap </w:t>
      </w:r>
      <w:bookmarkStart w:id="46" w:name="OLE_LINK31"/>
      <w:r w:rsidR="00ED3C82" w:rsidRPr="00B479E4">
        <w:rPr>
          <w:lang w:val="en-GB" w:eastAsia="en-GB"/>
        </w:rPr>
        <w:t>to the</w:t>
      </w:r>
      <w:r w:rsidR="00ED3C82">
        <w:rPr>
          <w:lang w:val="en-GB" w:eastAsia="en-GB"/>
        </w:rPr>
        <w:t xml:space="preserve"> three</w:t>
      </w:r>
      <w:r w:rsidR="00ED3C82" w:rsidRPr="00B479E4">
        <w:rPr>
          <w:lang w:val="en-GB" w:eastAsia="en-GB"/>
        </w:rPr>
        <w:t xml:space="preserve"> Month</w:t>
      </w:r>
      <w:r w:rsidR="00ED3C82">
        <w:rPr>
          <w:lang w:val="en-GB" w:eastAsia="en-GB"/>
        </w:rPr>
        <w:t>s</w:t>
      </w:r>
      <w:r w:rsidR="00ED3C82" w:rsidRPr="00B479E4">
        <w:rPr>
          <w:lang w:val="en-GB" w:eastAsia="en-GB"/>
        </w:rPr>
        <w:t xml:space="preserve"> </w:t>
      </w:r>
      <w:r w:rsidR="00ED3C82">
        <w:rPr>
          <w:lang w:val="en-GB" w:eastAsia="en-GB"/>
        </w:rPr>
        <w:t xml:space="preserve">following the Month in </w:t>
      </w:r>
      <w:r w:rsidR="00ED3C82" w:rsidRPr="00B479E4">
        <w:rPr>
          <w:lang w:val="en-GB" w:eastAsia="en-GB"/>
        </w:rPr>
        <w:t xml:space="preserve">which </w:t>
      </w:r>
      <w:r w:rsidR="00B44623">
        <w:rPr>
          <w:lang w:val="en-GB" w:eastAsia="en-GB"/>
        </w:rPr>
        <w:t xml:space="preserve">the </w:t>
      </w:r>
      <w:r w:rsidR="00ED3C82" w:rsidRPr="00B479E4">
        <w:rPr>
          <w:lang w:val="en-GB" w:eastAsia="en-GB"/>
        </w:rPr>
        <w:t xml:space="preserve">Client </w:t>
      </w:r>
      <w:r w:rsidR="00ED3C82">
        <w:rPr>
          <w:lang w:val="en-GB" w:eastAsia="en-GB"/>
        </w:rPr>
        <w:t xml:space="preserve">meets </w:t>
      </w:r>
      <w:bookmarkEnd w:id="46"/>
      <w:r w:rsidR="00ED3C82">
        <w:rPr>
          <w:lang w:val="en-GB" w:eastAsia="en-GB"/>
        </w:rPr>
        <w:t>the Brokerage Cap Criteria</w:t>
      </w:r>
      <w:r w:rsidR="00ED3C82" w:rsidRPr="00B479E4">
        <w:rPr>
          <w:lang w:val="en-GB" w:eastAsia="en-GB"/>
        </w:rPr>
        <w:t>.</w:t>
      </w:r>
      <w:r w:rsidR="00ED3C82">
        <w:rPr>
          <w:lang w:val="en-GB" w:eastAsia="en-GB"/>
        </w:rPr>
        <w:t xml:space="preserve"> </w:t>
      </w:r>
      <w:bookmarkStart w:id="47" w:name="OLE_LINK32"/>
      <w:r w:rsidR="00ED3C82" w:rsidRPr="00DA0AC4">
        <w:rPr>
          <w:rFonts w:cs="Arial"/>
          <w:szCs w:val="20"/>
        </w:rPr>
        <w:t xml:space="preserve">If </w:t>
      </w:r>
      <w:r w:rsidR="00B44623">
        <w:rPr>
          <w:lang w:val="en-GB" w:eastAsia="en-GB"/>
        </w:rPr>
        <w:t xml:space="preserve">the </w:t>
      </w:r>
      <w:r w:rsidR="00ED3C82" w:rsidRPr="00DA0AC4">
        <w:rPr>
          <w:rFonts w:cs="Arial"/>
          <w:szCs w:val="20"/>
        </w:rPr>
        <w:t xml:space="preserve">Client does not meet the Brokerage Cap Criteria </w:t>
      </w:r>
      <w:r w:rsidR="00ED3C82">
        <w:rPr>
          <w:rFonts w:cs="Arial"/>
          <w:szCs w:val="20"/>
        </w:rPr>
        <w:t xml:space="preserve">in at least one </w:t>
      </w:r>
      <w:r w:rsidR="00ED3C82" w:rsidRPr="00DA0AC4">
        <w:rPr>
          <w:rFonts w:cs="Arial"/>
          <w:szCs w:val="20"/>
        </w:rPr>
        <w:t xml:space="preserve">of those three Months, the Brokerage Cap will not apply from the fourth Month onwards, until </w:t>
      </w:r>
      <w:r w:rsidR="00B44623">
        <w:rPr>
          <w:lang w:val="en-GB" w:eastAsia="en-GB"/>
        </w:rPr>
        <w:t xml:space="preserve">the </w:t>
      </w:r>
      <w:r w:rsidR="00ED3C82" w:rsidRPr="00DA0AC4">
        <w:rPr>
          <w:rFonts w:cs="Arial"/>
          <w:szCs w:val="20"/>
        </w:rPr>
        <w:t>Client meets the Brokerage Cap Criteria.</w:t>
      </w:r>
      <w:bookmarkEnd w:id="47"/>
    </w:p>
    <w:p w14:paraId="395F1E59" w14:textId="4F912137" w:rsidR="00ED3C82" w:rsidRPr="00DA0AC4" w:rsidRDefault="009C5D23" w:rsidP="00B44623">
      <w:pPr>
        <w:pStyle w:val="subheading3"/>
        <w:jc w:val="both"/>
        <w:rPr>
          <w:lang w:val="en-GB" w:eastAsia="en-GB"/>
        </w:rPr>
      </w:pPr>
      <w:r>
        <w:rPr>
          <w:lang w:val="en-GB" w:eastAsia="en-GB"/>
        </w:rPr>
        <w:t>LSEG</w:t>
      </w:r>
      <w:r w:rsidR="00ED3C82">
        <w:rPr>
          <w:lang w:val="en-GB" w:eastAsia="en-GB"/>
        </w:rPr>
        <w:t xml:space="preserve"> will apply the Brokerage Cap to the balance of the Aggressor Fees once the Incentive Rate Card and Rebate have been applied to such Aggressor Fees. </w:t>
      </w:r>
    </w:p>
    <w:p w14:paraId="111C011F" w14:textId="657E6922" w:rsidR="00ED3C82" w:rsidRDefault="00ED3C82" w:rsidP="00AC6E78">
      <w:pPr>
        <w:pStyle w:val="Subheading1"/>
      </w:pPr>
      <w:r>
        <w:lastRenderedPageBreak/>
        <w:t>Term and Termination</w:t>
      </w:r>
      <w:bookmarkEnd w:id="45"/>
    </w:p>
    <w:p w14:paraId="7A63ABFE" w14:textId="29101888" w:rsidR="00ED3C82" w:rsidRDefault="00ED3C82" w:rsidP="00B44623">
      <w:pPr>
        <w:pStyle w:val="subheading2"/>
        <w:keepNext/>
        <w:jc w:val="both"/>
        <w:rPr>
          <w:lang w:eastAsia="en-GB"/>
        </w:rPr>
      </w:pPr>
      <w:bookmarkStart w:id="48" w:name="_Ref139454178"/>
      <w:r w:rsidRPr="51B013F3">
        <w:rPr>
          <w:lang w:eastAsia="en-GB"/>
        </w:rPr>
        <w:t xml:space="preserve">Unless terminated earlier in accordance with this clause 6, this LPI Agreement </w:t>
      </w:r>
      <w:r>
        <w:rPr>
          <w:lang w:eastAsia="en-GB"/>
        </w:rPr>
        <w:t xml:space="preserve">will be in force </w:t>
      </w:r>
      <w:r w:rsidRPr="51B013F3">
        <w:rPr>
          <w:lang w:eastAsia="en-GB"/>
        </w:rPr>
        <w:t xml:space="preserve">from the Effective Date </w:t>
      </w:r>
      <w:r>
        <w:rPr>
          <w:lang w:eastAsia="en-GB"/>
        </w:rPr>
        <w:t>until 30 June 2025</w:t>
      </w:r>
      <w:r w:rsidRPr="00B44623">
        <w:rPr>
          <w:lang w:eastAsia="en-GB"/>
        </w:rPr>
        <w:t xml:space="preserve"> (“</w:t>
      </w:r>
      <w:r w:rsidRPr="51B013F3">
        <w:rPr>
          <w:b/>
          <w:bCs/>
          <w:lang w:eastAsia="en-GB"/>
        </w:rPr>
        <w:t>Initial Term</w:t>
      </w:r>
      <w:r w:rsidRPr="00B44623">
        <w:rPr>
          <w:lang w:eastAsia="en-GB"/>
        </w:rPr>
        <w:t>”).</w:t>
      </w:r>
      <w:bookmarkEnd w:id="48"/>
      <w:r w:rsidRPr="00B44623">
        <w:rPr>
          <w:lang w:eastAsia="en-GB"/>
        </w:rPr>
        <w:t xml:space="preserve"> </w:t>
      </w:r>
    </w:p>
    <w:p w14:paraId="548C017B" w14:textId="43D1DEE6" w:rsidR="00ED3C82" w:rsidRDefault="00ED3C82" w:rsidP="00B44623">
      <w:pPr>
        <w:pStyle w:val="subheading2"/>
        <w:jc w:val="both"/>
        <w:rPr>
          <w:lang w:eastAsia="en-GB"/>
        </w:rPr>
      </w:pPr>
      <w:r>
        <w:rPr>
          <w:lang w:eastAsia="en-GB"/>
        </w:rPr>
        <w:t xml:space="preserve">Notwithstanding clause </w:t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REF _Ref139454178 \r \h </w:instrText>
      </w:r>
      <w:r w:rsidR="00B44623">
        <w:rPr>
          <w:lang w:eastAsia="en-GB"/>
        </w:rPr>
        <w:instrText xml:space="preserve"> \* MERGEFORMAT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 w:rsidR="006966E1">
        <w:rPr>
          <w:lang w:eastAsia="en-GB"/>
        </w:rPr>
        <w:t>5.1</w:t>
      </w:r>
      <w:r>
        <w:rPr>
          <w:lang w:eastAsia="en-GB"/>
        </w:rPr>
        <w:fldChar w:fldCharType="end"/>
      </w:r>
      <w:r>
        <w:rPr>
          <w:lang w:eastAsia="en-GB"/>
        </w:rPr>
        <w:t xml:space="preserve">, at its sole discretion, </w:t>
      </w:r>
      <w:r w:rsidR="009C5D23">
        <w:rPr>
          <w:lang w:eastAsia="en-GB"/>
        </w:rPr>
        <w:t>LSEG</w:t>
      </w:r>
      <w:r>
        <w:rPr>
          <w:lang w:eastAsia="en-GB"/>
        </w:rPr>
        <w:t xml:space="preserve"> may provide at least 90 days’ written notice to </w:t>
      </w:r>
      <w:r w:rsidR="00B44623">
        <w:rPr>
          <w:lang w:val="en-GB" w:eastAsia="en-GB"/>
        </w:rPr>
        <w:t xml:space="preserve">the </w:t>
      </w:r>
      <w:r>
        <w:rPr>
          <w:lang w:eastAsia="en-GB"/>
        </w:rPr>
        <w:t xml:space="preserve">Client to extend the Term </w:t>
      </w:r>
      <w:r w:rsidRPr="51B013F3">
        <w:rPr>
          <w:lang w:eastAsia="en-GB"/>
        </w:rPr>
        <w:t>for further 12-month periods (each such period, a “</w:t>
      </w:r>
      <w:r w:rsidRPr="51B013F3">
        <w:rPr>
          <w:b/>
          <w:bCs/>
          <w:lang w:eastAsia="en-GB"/>
        </w:rPr>
        <w:t>Renewal Term</w:t>
      </w:r>
      <w:r w:rsidRPr="00BC4C22">
        <w:rPr>
          <w:lang w:eastAsia="en-GB"/>
        </w:rPr>
        <w:t>”</w:t>
      </w:r>
      <w:r>
        <w:rPr>
          <w:lang w:eastAsia="en-GB"/>
        </w:rPr>
        <w:t>, and the Initial Term and any Renewal Term(s) are collectively the “</w:t>
      </w:r>
      <w:r w:rsidRPr="00330821">
        <w:rPr>
          <w:b/>
          <w:bCs/>
          <w:lang w:eastAsia="en-GB"/>
        </w:rPr>
        <w:t>Term</w:t>
      </w:r>
      <w:r>
        <w:rPr>
          <w:lang w:eastAsia="en-GB"/>
        </w:rPr>
        <w:t>”</w:t>
      </w:r>
      <w:r w:rsidRPr="51B013F3">
        <w:rPr>
          <w:lang w:eastAsia="en-GB"/>
        </w:rPr>
        <w:t>). </w:t>
      </w:r>
    </w:p>
    <w:p w14:paraId="1A4D5B08" w14:textId="71101B15" w:rsidR="00ED3C82" w:rsidRDefault="00B44623" w:rsidP="00B44623">
      <w:pPr>
        <w:pStyle w:val="subheading2"/>
        <w:jc w:val="both"/>
        <w:rPr>
          <w:lang w:eastAsia="en-GB"/>
        </w:rPr>
      </w:pPr>
      <w:r>
        <w:rPr>
          <w:lang w:eastAsia="en-GB"/>
        </w:rPr>
        <w:t xml:space="preserve">The </w:t>
      </w:r>
      <w:r w:rsidR="00ED3C82" w:rsidRPr="004B58DD">
        <w:rPr>
          <w:lang w:eastAsia="en-GB"/>
        </w:rPr>
        <w:t>Client</w:t>
      </w:r>
      <w:r w:rsidR="00ED3C82">
        <w:rPr>
          <w:lang w:eastAsia="en-GB"/>
        </w:rPr>
        <w:t xml:space="preserve"> </w:t>
      </w:r>
      <w:r w:rsidR="00ED3C82" w:rsidRPr="00CD0764">
        <w:rPr>
          <w:lang w:eastAsia="en-GB"/>
        </w:rPr>
        <w:t>may terminate this LPI Agreement</w:t>
      </w:r>
      <w:r w:rsidR="00ED3C82">
        <w:rPr>
          <w:lang w:eastAsia="en-GB"/>
        </w:rPr>
        <w:t xml:space="preserve"> by providing </w:t>
      </w:r>
      <w:proofErr w:type="gramStart"/>
      <w:r w:rsidR="009C5D23">
        <w:rPr>
          <w:lang w:eastAsia="en-GB"/>
        </w:rPr>
        <w:t>LSEG</w:t>
      </w:r>
      <w:proofErr w:type="gramEnd"/>
      <w:r w:rsidR="00ED3C82" w:rsidRPr="00CD0764">
        <w:rPr>
          <w:lang w:eastAsia="en-GB"/>
        </w:rPr>
        <w:t xml:space="preserve"> 30 days’</w:t>
      </w:r>
      <w:r w:rsidR="00ED3C82">
        <w:rPr>
          <w:lang w:eastAsia="en-GB"/>
        </w:rPr>
        <w:t xml:space="preserve"> written</w:t>
      </w:r>
      <w:r w:rsidR="00ED3C82" w:rsidRPr="00CD0764">
        <w:rPr>
          <w:lang w:eastAsia="en-GB"/>
        </w:rPr>
        <w:t xml:space="preserve"> notice.</w:t>
      </w:r>
    </w:p>
    <w:p w14:paraId="29E0C3A0" w14:textId="32B76439" w:rsidR="00ED3C82" w:rsidRDefault="009C5D23" w:rsidP="00B44623">
      <w:pPr>
        <w:pStyle w:val="subheading2"/>
        <w:jc w:val="both"/>
        <w:rPr>
          <w:lang w:eastAsia="en-GB"/>
        </w:rPr>
      </w:pPr>
      <w:r>
        <w:rPr>
          <w:lang w:eastAsia="en-GB"/>
        </w:rPr>
        <w:t>LSEG</w:t>
      </w:r>
      <w:r w:rsidR="00ED3C82" w:rsidRPr="0092574F">
        <w:rPr>
          <w:lang w:eastAsia="en-GB"/>
        </w:rPr>
        <w:t xml:space="preserve"> may terminate this LPI Agreement </w:t>
      </w:r>
      <w:r w:rsidR="00ED3C82">
        <w:rPr>
          <w:lang w:eastAsia="en-GB"/>
        </w:rPr>
        <w:t xml:space="preserve">for any reason by providing </w:t>
      </w:r>
      <w:r w:rsidR="00B44623">
        <w:rPr>
          <w:lang w:val="en-GB" w:eastAsia="en-GB"/>
        </w:rPr>
        <w:t xml:space="preserve">the </w:t>
      </w:r>
      <w:proofErr w:type="gramStart"/>
      <w:r w:rsidR="00ED3C82" w:rsidRPr="004B58DD">
        <w:rPr>
          <w:lang w:eastAsia="en-GB"/>
        </w:rPr>
        <w:t>Client</w:t>
      </w:r>
      <w:proofErr w:type="gramEnd"/>
      <w:r w:rsidR="00ED3C82">
        <w:rPr>
          <w:lang w:eastAsia="en-GB"/>
        </w:rPr>
        <w:t xml:space="preserve"> </w:t>
      </w:r>
      <w:r w:rsidR="00ED3C82" w:rsidRPr="0092574F">
        <w:rPr>
          <w:lang w:eastAsia="en-GB"/>
        </w:rPr>
        <w:t xml:space="preserve">90 days’ </w:t>
      </w:r>
      <w:r w:rsidR="00ED3C82">
        <w:rPr>
          <w:lang w:eastAsia="en-GB"/>
        </w:rPr>
        <w:t xml:space="preserve">written </w:t>
      </w:r>
      <w:r w:rsidR="00ED3C82" w:rsidRPr="0092574F">
        <w:rPr>
          <w:lang w:eastAsia="en-GB"/>
        </w:rPr>
        <w:t>notice.</w:t>
      </w:r>
    </w:p>
    <w:p w14:paraId="2EBD98E8" w14:textId="4C3A9E83" w:rsidR="00ED3C82" w:rsidRDefault="00ED3C82" w:rsidP="00B44623">
      <w:pPr>
        <w:pStyle w:val="subheading2"/>
        <w:jc w:val="both"/>
        <w:rPr>
          <w:lang w:eastAsia="en-GB"/>
        </w:rPr>
      </w:pPr>
      <w:r w:rsidRPr="00BA4495">
        <w:rPr>
          <w:lang w:eastAsia="en-GB"/>
        </w:rPr>
        <w:t>This LPI Agreement will automatically terminate:</w:t>
      </w:r>
    </w:p>
    <w:p w14:paraId="3A9FD692" w14:textId="3700CC61" w:rsidR="00ED3C82" w:rsidRDefault="00ED3C82" w:rsidP="00B44623">
      <w:pPr>
        <w:pStyle w:val="letter"/>
        <w:numPr>
          <w:ilvl w:val="0"/>
          <w:numId w:val="32"/>
        </w:numPr>
        <w:ind w:left="993" w:hanging="426"/>
        <w:jc w:val="both"/>
        <w:rPr>
          <w:lang w:eastAsia="en-GB"/>
        </w:rPr>
      </w:pPr>
      <w:bookmarkStart w:id="49" w:name="OLE_LINK58"/>
      <w:r>
        <w:rPr>
          <w:lang w:eastAsia="en-GB"/>
        </w:rPr>
        <w:t>on expiry or termination of the Participant Agreement, for whatever reason; or</w:t>
      </w:r>
      <w:bookmarkEnd w:id="49"/>
      <w:r>
        <w:rPr>
          <w:lang w:eastAsia="en-GB"/>
        </w:rPr>
        <w:tab/>
      </w:r>
    </w:p>
    <w:p w14:paraId="20F77429" w14:textId="309916F5" w:rsidR="00ED3C82" w:rsidRPr="00D74617" w:rsidRDefault="00ED3C82" w:rsidP="00B44623">
      <w:pPr>
        <w:pStyle w:val="subheading3"/>
        <w:jc w:val="both"/>
      </w:pPr>
      <w:r>
        <w:rPr>
          <w:lang w:eastAsia="en-GB"/>
        </w:rPr>
        <w:t>if</w:t>
      </w:r>
      <w:r>
        <w:t xml:space="preserve"> </w:t>
      </w:r>
      <w:r w:rsidR="00B44623">
        <w:rPr>
          <w:lang w:val="en-GB" w:eastAsia="en-GB"/>
        </w:rPr>
        <w:t xml:space="preserve">the </w:t>
      </w:r>
      <w:r>
        <w:rPr>
          <w:lang w:val="en-GB" w:eastAsia="en-GB"/>
        </w:rPr>
        <w:t xml:space="preserve">Client </w:t>
      </w:r>
      <w:r>
        <w:t xml:space="preserve">fails to meet the Rate </w:t>
      </w:r>
      <w:r w:rsidRPr="00C575BC">
        <w:t xml:space="preserve">Card </w:t>
      </w:r>
      <w:r w:rsidRPr="00A35379">
        <w:t>Criteria</w:t>
      </w:r>
      <w:r w:rsidRPr="00C575BC">
        <w:t xml:space="preserve"> for</w:t>
      </w:r>
      <w:r>
        <w:t xml:space="preserve"> six consecutive Months. </w:t>
      </w:r>
    </w:p>
    <w:p w14:paraId="5030098F" w14:textId="28406E87" w:rsidR="00ED3C82" w:rsidRPr="00B60197" w:rsidRDefault="00ED3C82" w:rsidP="00AC6E78">
      <w:pPr>
        <w:pStyle w:val="Subheading1"/>
      </w:pPr>
      <w:bookmarkStart w:id="50" w:name="OLE_LINK54"/>
      <w:r w:rsidRPr="00B60197">
        <w:t>Miscellaneous</w:t>
      </w:r>
    </w:p>
    <w:p w14:paraId="5DEB836C" w14:textId="59C9ACA0" w:rsidR="00ED3C82" w:rsidRDefault="009C5D23" w:rsidP="00B44623">
      <w:pPr>
        <w:pStyle w:val="subheading2"/>
        <w:jc w:val="both"/>
      </w:pPr>
      <w:bookmarkStart w:id="51" w:name="OLE_LINK7"/>
      <w:bookmarkEnd w:id="50"/>
      <w:r>
        <w:rPr>
          <w:lang w:eastAsia="en-GB"/>
        </w:rPr>
        <w:t>LSEG</w:t>
      </w:r>
      <w:r w:rsidR="00ED3C82">
        <w:t xml:space="preserve"> will aggregate liquidity provider activity across all Matching codes (TCIDs) within </w:t>
      </w:r>
      <w:r w:rsidR="00B44623">
        <w:rPr>
          <w:lang w:val="en-GB" w:eastAsia="en-GB"/>
        </w:rPr>
        <w:t xml:space="preserve">the </w:t>
      </w:r>
      <w:r w:rsidR="00ED3C82">
        <w:t xml:space="preserve">Client’s group billing structure that has been agreed with </w:t>
      </w:r>
      <w:r>
        <w:t>LSEG</w:t>
      </w:r>
      <w:r w:rsidR="00ED3C82">
        <w:t xml:space="preserve"> in writing in </w:t>
      </w:r>
      <w:proofErr w:type="gramStart"/>
      <w:r w:rsidR="00ED3C82">
        <w:t>advance, and</w:t>
      </w:r>
      <w:proofErr w:type="gramEnd"/>
      <w:r w:rsidR="00ED3C82">
        <w:t xml:space="preserve"> will apply the Incentive on aggregated basis. </w:t>
      </w:r>
    </w:p>
    <w:p w14:paraId="2F1DA339" w14:textId="2F41B49F" w:rsidR="00ED3C82" w:rsidRDefault="00ED3C82" w:rsidP="00B44623">
      <w:pPr>
        <w:pStyle w:val="subheading2"/>
        <w:jc w:val="both"/>
      </w:pPr>
      <w:r>
        <w:t xml:space="preserve">If </w:t>
      </w:r>
      <w:r w:rsidR="00B44623">
        <w:rPr>
          <w:lang w:val="en-GB" w:eastAsia="en-GB"/>
        </w:rPr>
        <w:t xml:space="preserve">the </w:t>
      </w:r>
      <w:r w:rsidRPr="005A0FE0">
        <w:rPr>
          <w:lang w:eastAsia="en-GB"/>
        </w:rPr>
        <w:t>Client</w:t>
      </w:r>
      <w:r>
        <w:t xml:space="preserve"> fails to meet the </w:t>
      </w:r>
      <w:bookmarkStart w:id="52" w:name="OLE_LINK28"/>
      <w:r>
        <w:t xml:space="preserve">any of the </w:t>
      </w:r>
      <w:bookmarkEnd w:id="52"/>
      <w:r>
        <w:t xml:space="preserve">Criteria in a Month, </w:t>
      </w:r>
      <w:r w:rsidR="009C5D23">
        <w:t>LSEG</w:t>
      </w:r>
      <w:r>
        <w:t xml:space="preserve"> may at its sole discretion, elect to apply some or </w:t>
      </w:r>
      <w:proofErr w:type="gramStart"/>
      <w:r>
        <w:t>all of</w:t>
      </w:r>
      <w:proofErr w:type="gramEnd"/>
      <w:r>
        <w:t xml:space="preserve"> the Incentive if any of the following events occur in relation to </w:t>
      </w:r>
      <w:r w:rsidR="00B44623">
        <w:rPr>
          <w:lang w:val="en-GB" w:eastAsia="en-GB"/>
        </w:rPr>
        <w:t xml:space="preserve">the </w:t>
      </w:r>
      <w:r>
        <w:t>Client:</w:t>
      </w:r>
    </w:p>
    <w:p w14:paraId="17FFA234" w14:textId="0B3FE11D" w:rsidR="00ED3C82" w:rsidRDefault="00ED3C82" w:rsidP="00B44623">
      <w:pPr>
        <w:pStyle w:val="letter"/>
        <w:numPr>
          <w:ilvl w:val="0"/>
          <w:numId w:val="29"/>
        </w:numPr>
        <w:ind w:left="993" w:hanging="426"/>
        <w:jc w:val="both"/>
        <w:rPr>
          <w:lang w:eastAsia="en-GB"/>
        </w:rPr>
      </w:pPr>
      <w:r>
        <w:t xml:space="preserve">a situation of extreme volatility triggering volatility mechanisms for the majority of financial </w:t>
      </w:r>
      <w:r>
        <w:rPr>
          <w:lang w:eastAsia="en-GB"/>
        </w:rPr>
        <w:t xml:space="preserve">instruments or underlyings of financial instruments traded on the </w:t>
      </w:r>
      <w:proofErr w:type="gramStart"/>
      <w:r w:rsidR="009C5D23">
        <w:rPr>
          <w:lang w:eastAsia="en-GB"/>
        </w:rPr>
        <w:t>Platform</w:t>
      </w:r>
      <w:r>
        <w:rPr>
          <w:lang w:eastAsia="en-GB"/>
        </w:rPr>
        <w:t>;</w:t>
      </w:r>
      <w:proofErr w:type="gramEnd"/>
      <w:r>
        <w:rPr>
          <w:lang w:eastAsia="en-GB"/>
        </w:rPr>
        <w:t xml:space="preserve"> </w:t>
      </w:r>
    </w:p>
    <w:p w14:paraId="44FE5C7D" w14:textId="08ED67CB" w:rsidR="00ED3C82" w:rsidRDefault="00ED3C82" w:rsidP="00B44623">
      <w:pPr>
        <w:pStyle w:val="subheading3"/>
        <w:jc w:val="both"/>
        <w:rPr>
          <w:lang w:eastAsia="en-GB"/>
        </w:rPr>
      </w:pPr>
      <w:r>
        <w:rPr>
          <w:lang w:eastAsia="en-GB"/>
        </w:rPr>
        <w:t xml:space="preserve">war, industrial action, civil unrest or cyber </w:t>
      </w:r>
      <w:proofErr w:type="gramStart"/>
      <w:r>
        <w:rPr>
          <w:lang w:eastAsia="en-GB"/>
        </w:rPr>
        <w:t>sabotage;</w:t>
      </w:r>
      <w:proofErr w:type="gramEnd"/>
      <w:r>
        <w:rPr>
          <w:lang w:eastAsia="en-GB"/>
        </w:rPr>
        <w:t xml:space="preserve"> </w:t>
      </w:r>
    </w:p>
    <w:p w14:paraId="6D2EF8B4" w14:textId="178A801B" w:rsidR="00ED3C82" w:rsidRDefault="00ED3C82" w:rsidP="00B44623">
      <w:pPr>
        <w:pStyle w:val="subheading3"/>
        <w:jc w:val="both"/>
        <w:rPr>
          <w:lang w:eastAsia="en-GB"/>
        </w:rPr>
      </w:pPr>
      <w:r>
        <w:rPr>
          <w:lang w:eastAsia="en-GB"/>
        </w:rPr>
        <w:t xml:space="preserve">disorderly trading conditions where the maintenance of fair, orderly and transparent execution of trades is </w:t>
      </w:r>
      <w:proofErr w:type="gramStart"/>
      <w:r>
        <w:rPr>
          <w:lang w:eastAsia="en-GB"/>
        </w:rPr>
        <w:t>compromised</w:t>
      </w:r>
      <w:proofErr w:type="gramEnd"/>
      <w:r>
        <w:rPr>
          <w:lang w:eastAsia="en-GB"/>
        </w:rPr>
        <w:tab/>
      </w:r>
    </w:p>
    <w:p w14:paraId="3E0814AA" w14:textId="51169286" w:rsidR="00ED3C82" w:rsidRDefault="00ED3C82" w:rsidP="00B44623">
      <w:pPr>
        <w:pStyle w:val="subheading3"/>
        <w:jc w:val="both"/>
        <w:rPr>
          <w:lang w:eastAsia="en-GB"/>
        </w:rPr>
      </w:pPr>
      <w:r>
        <w:rPr>
          <w:lang w:eastAsia="en-GB"/>
        </w:rPr>
        <w:t xml:space="preserve">where technological or risk management issues prevent </w:t>
      </w:r>
      <w:r w:rsidR="00B44623">
        <w:rPr>
          <w:lang w:val="en-GB" w:eastAsia="en-GB"/>
        </w:rPr>
        <w:t xml:space="preserve">the </w:t>
      </w:r>
      <w:r>
        <w:rPr>
          <w:lang w:eastAsia="en-GB"/>
        </w:rPr>
        <w:t>Client from maintaining prudent risk management practices; or</w:t>
      </w:r>
    </w:p>
    <w:p w14:paraId="40D68ABC" w14:textId="245BF112" w:rsidR="00ED3C82" w:rsidRDefault="00ED3C82" w:rsidP="00B44623">
      <w:pPr>
        <w:pStyle w:val="subheading3"/>
        <w:jc w:val="both"/>
      </w:pPr>
      <w:bookmarkStart w:id="53" w:name="OLE_LINK26"/>
      <w:r>
        <w:rPr>
          <w:lang w:eastAsia="en-GB"/>
        </w:rPr>
        <w:t>a suspension</w:t>
      </w:r>
      <w:r>
        <w:t xml:space="preserve"> period, as referred to in Article 9(4) of Regulation (EU) No 600/2014 of the European Parliament and of the Council</w:t>
      </w:r>
      <w:bookmarkEnd w:id="53"/>
      <w:r>
        <w:t>.</w:t>
      </w:r>
      <w:bookmarkEnd w:id="51"/>
    </w:p>
    <w:p w14:paraId="01952BE3" w14:textId="77777777" w:rsidR="00ED3C82" w:rsidRDefault="00ED3C82" w:rsidP="00B44623">
      <w:pPr>
        <w:pStyle w:val="subheading2"/>
        <w:jc w:val="both"/>
        <w:rPr>
          <w:lang w:eastAsia="en-GB"/>
        </w:rPr>
      </w:pPr>
      <w:r>
        <w:t xml:space="preserve">Except as expressly modified by this LPI Agreement, the terms of the Participant Agreement remain </w:t>
      </w:r>
      <w:r>
        <w:rPr>
          <w:lang w:eastAsia="en-GB"/>
        </w:rPr>
        <w:t>unamended and in full force and effect. The terms of this LPI Agreement shall prevail over any conflicting term of the Participant Agreement.</w:t>
      </w:r>
    </w:p>
    <w:p w14:paraId="23F3A7C9" w14:textId="2ACC47E1" w:rsidR="005E447C" w:rsidRDefault="009C5D23" w:rsidP="00B44623">
      <w:pPr>
        <w:pStyle w:val="subheading2"/>
        <w:jc w:val="both"/>
        <w:rPr>
          <w:lang w:eastAsia="en-GB"/>
        </w:rPr>
      </w:pPr>
      <w:r>
        <w:rPr>
          <w:lang w:eastAsia="en-GB"/>
        </w:rPr>
        <w:t>LSEG</w:t>
      </w:r>
      <w:r w:rsidR="00ED3C82">
        <w:rPr>
          <w:lang w:eastAsia="en-GB"/>
        </w:rPr>
        <w:t xml:space="preserve"> may modify this LPI Agreement on 30 days’ written notice to </w:t>
      </w:r>
      <w:r w:rsidR="00B44623">
        <w:rPr>
          <w:lang w:val="en-GB" w:eastAsia="en-GB"/>
        </w:rPr>
        <w:t xml:space="preserve">the </w:t>
      </w:r>
      <w:r w:rsidR="00ED3C82" w:rsidRPr="00DB68A6">
        <w:rPr>
          <w:lang w:eastAsia="en-GB"/>
        </w:rPr>
        <w:t>Client</w:t>
      </w:r>
      <w:r w:rsidR="00ED3C82">
        <w:rPr>
          <w:lang w:eastAsia="en-GB"/>
        </w:rPr>
        <w:t xml:space="preserve">. </w:t>
      </w:r>
    </w:p>
    <w:p w14:paraId="433311E3" w14:textId="087C4F1C" w:rsidR="00ED3C82" w:rsidRDefault="00ED3C82" w:rsidP="00B44623">
      <w:pPr>
        <w:pStyle w:val="subheading2"/>
        <w:jc w:val="both"/>
        <w:rPr>
          <w:lang w:eastAsia="en-GB"/>
        </w:rPr>
      </w:pPr>
      <w:r>
        <w:rPr>
          <w:lang w:eastAsia="en-GB"/>
        </w:rPr>
        <w:t xml:space="preserve">Any notice required to be given under this LPI Agreement by </w:t>
      </w:r>
      <w:r w:rsidR="00B44623">
        <w:rPr>
          <w:lang w:val="en-GB" w:eastAsia="en-GB"/>
        </w:rPr>
        <w:t xml:space="preserve">the </w:t>
      </w:r>
      <w:r w:rsidRPr="004B58DD">
        <w:rPr>
          <w:lang w:eastAsia="en-GB"/>
        </w:rPr>
        <w:t>Client</w:t>
      </w:r>
      <w:r>
        <w:rPr>
          <w:lang w:eastAsia="en-GB"/>
        </w:rPr>
        <w:t xml:space="preserve"> shall be given in accordance with the procedures prescribed by the Participant Agreement.</w:t>
      </w:r>
    </w:p>
    <w:p w14:paraId="14C42C01" w14:textId="77777777" w:rsidR="00ED3C82" w:rsidRPr="00B60197" w:rsidRDefault="00ED3C82" w:rsidP="00B44623">
      <w:pPr>
        <w:pStyle w:val="subheading2"/>
        <w:jc w:val="both"/>
      </w:pPr>
      <w:r>
        <w:rPr>
          <w:lang w:eastAsia="en-GB"/>
        </w:rPr>
        <w:t>This LPI Agreement</w:t>
      </w:r>
      <w:r>
        <w:t xml:space="preserve"> shall be construed and interpreted in accordance with the governing law and jurisdiction provisions in the Participant Agreement.</w:t>
      </w:r>
      <w:bookmarkStart w:id="54" w:name="_Hlk5188545"/>
      <w:r w:rsidRPr="006C4883">
        <w:rPr>
          <w:b/>
          <w:bCs/>
        </w:rPr>
        <w:t xml:space="preserve"> </w:t>
      </w:r>
    </w:p>
    <w:p w14:paraId="32DD7D2B" w14:textId="77777777" w:rsidR="00ED3C82" w:rsidRPr="00AC6E78" w:rsidRDefault="00ED3C82" w:rsidP="003963C1">
      <w:pPr>
        <w:keepNext/>
      </w:pPr>
      <w:r w:rsidRPr="00AC6E78">
        <w:lastRenderedPageBreak/>
        <w:t>The Parties have entered into this LPI Agreement on the last signature date by the parties below.</w:t>
      </w:r>
    </w:p>
    <w:tbl>
      <w:tblPr>
        <w:tblStyle w:val="LSEGFXtablestyle"/>
        <w:tblW w:w="9498" w:type="dxa"/>
        <w:tblLook w:val="04A0" w:firstRow="1" w:lastRow="0" w:firstColumn="1" w:lastColumn="0" w:noHBand="0" w:noVBand="1"/>
      </w:tblPr>
      <w:tblGrid>
        <w:gridCol w:w="3216"/>
        <w:gridCol w:w="1492"/>
        <w:gridCol w:w="3230"/>
        <w:gridCol w:w="1560"/>
      </w:tblGrid>
      <w:tr w:rsidR="00ED3C82" w:rsidRPr="00826406" w14:paraId="41A9CD8E" w14:textId="77777777" w:rsidTr="007E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678" w:type="dxa"/>
            <w:gridSpan w:val="2"/>
            <w:tcBorders>
              <w:bottom w:val="nil"/>
            </w:tcBorders>
            <w:noWrap/>
            <w:hideMark/>
          </w:tcPr>
          <w:p w14:paraId="7617B5CE" w14:textId="77777777" w:rsidR="00ED3C82" w:rsidRPr="00826406" w:rsidRDefault="00ED3C82" w:rsidP="00826406">
            <w:pPr>
              <w:pStyle w:val="TableTextHeading"/>
            </w:pPr>
            <w:r w:rsidRPr="00826406">
              <w:t>Signed on behalf of Financial &amp; Risk Transaction Services Ireland Limited</w:t>
            </w:r>
          </w:p>
        </w:tc>
        <w:tc>
          <w:tcPr>
            <w:tcW w:w="4820" w:type="dxa"/>
            <w:gridSpan w:val="2"/>
            <w:tcBorders>
              <w:bottom w:val="nil"/>
            </w:tcBorders>
            <w:hideMark/>
          </w:tcPr>
          <w:p w14:paraId="06A6A237" w14:textId="3CBC0E01" w:rsidR="00ED3C82" w:rsidRPr="00826406" w:rsidRDefault="00ED3C82" w:rsidP="00826406">
            <w:pPr>
              <w:pStyle w:val="TableTextHeading"/>
            </w:pPr>
            <w:r w:rsidRPr="00826406">
              <w:t>Signed on behalf o</w:t>
            </w:r>
            <w:r w:rsidRPr="00131DCE">
              <w:t>f</w:t>
            </w:r>
            <w:r w:rsidR="00131DCE" w:rsidRPr="00131DCE">
              <w:t xml:space="preserve"> [</w:t>
            </w:r>
            <w:sdt>
              <w:sdtPr>
                <w:rPr>
                  <w:highlight w:val="yellow"/>
                </w:rPr>
                <w:alias w:val="Client Name"/>
                <w:tag w:val="Client Name"/>
                <w:id w:val="247241179"/>
                <w:placeholder>
                  <w:docPart w:val="E036718B44A040E987E571ED5783CF18"/>
                </w:placeholder>
                <w:showingPlcHdr/>
                <w:text/>
              </w:sdtPr>
              <w:sdtEndPr/>
              <w:sdtContent>
                <w:r w:rsidR="00131DCE" w:rsidRPr="00131DCE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="00131DCE" w:rsidRPr="00131DCE">
              <w:t>]</w:t>
            </w:r>
            <w:r w:rsidRPr="00131DCE">
              <w:t xml:space="preserve"> </w:t>
            </w:r>
            <w:r w:rsidR="00FC328F">
              <w:t>(</w:t>
            </w:r>
            <w:r w:rsidRPr="00131DCE">
              <w:t>Clien</w:t>
            </w:r>
            <w:r w:rsidR="00FC328F">
              <w:t xml:space="preserve">t </w:t>
            </w:r>
            <w:r w:rsidRPr="00131DCE">
              <w:t>Name</w:t>
            </w:r>
            <w:r w:rsidR="00FC328F">
              <w:t>)</w:t>
            </w:r>
          </w:p>
        </w:tc>
      </w:tr>
      <w:tr w:rsidR="007E7FAE" w:rsidRPr="007E7FAE" w14:paraId="42AC8DB4" w14:textId="77777777" w:rsidTr="007E7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19" w:type="dxa"/>
            <w:tcBorders>
              <w:top w:val="nil"/>
              <w:right w:val="single" w:sz="4" w:space="0" w:color="666666"/>
            </w:tcBorders>
            <w:noWrap/>
          </w:tcPr>
          <w:sdt>
            <w:sdtPr>
              <w:id w:val="-1212962828"/>
              <w:showingPlcHdr/>
              <w:picture/>
            </w:sdtPr>
            <w:sdtEndPr/>
            <w:sdtContent>
              <w:p w14:paraId="2A3F958E" w14:textId="0FEC6E59" w:rsidR="007E7FAE" w:rsidRPr="007E7FAE" w:rsidRDefault="00131DCE" w:rsidP="003963C1">
                <w:pPr>
                  <w:pStyle w:val="TableText"/>
                  <w:keepNext/>
                  <w:rPr>
                    <w:color w:val="auto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AA8795" wp14:editId="6E8C1AC8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59" w:type="dxa"/>
            <w:tcBorders>
              <w:top w:val="nil"/>
              <w:left w:val="single" w:sz="4" w:space="0" w:color="666666"/>
              <w:right w:val="single" w:sz="4" w:space="0" w:color="666666"/>
            </w:tcBorders>
            <w:hideMark/>
          </w:tcPr>
          <w:p w14:paraId="645941AC" w14:textId="77777777" w:rsidR="00ED3C82" w:rsidRPr="007E7FAE" w:rsidRDefault="00ED3C82" w:rsidP="003963C1">
            <w:pPr>
              <w:pStyle w:val="TableText"/>
              <w:keepNext/>
              <w:rPr>
                <w:color w:val="auto"/>
              </w:rPr>
            </w:pPr>
            <w:r w:rsidRPr="007E7FAE">
              <w:rPr>
                <w:color w:val="auto"/>
              </w:rPr>
              <w:t>Signature</w:t>
            </w:r>
          </w:p>
        </w:tc>
        <w:sdt>
          <w:sdtPr>
            <w:id w:val="-1707786895"/>
            <w:showingPlcHdr/>
            <w:picture/>
          </w:sdtPr>
          <w:sdtEndPr/>
          <w:sdtContent>
            <w:tc>
              <w:tcPr>
                <w:tcW w:w="3260" w:type="dxa"/>
                <w:tcBorders>
                  <w:top w:val="nil"/>
                  <w:left w:val="single" w:sz="4" w:space="0" w:color="666666"/>
                  <w:right w:val="single" w:sz="4" w:space="0" w:color="666666"/>
                </w:tcBorders>
              </w:tcPr>
              <w:p w14:paraId="4F396290" w14:textId="22C74D51" w:rsidR="00ED3C82" w:rsidRPr="007E7FAE" w:rsidRDefault="00131DCE" w:rsidP="003963C1">
                <w:pPr>
                  <w:pStyle w:val="TableText"/>
                  <w:keepNext/>
                  <w:rPr>
                    <w:color w:val="auto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5F4AAA" wp14:editId="06A27DF8">
                      <wp:extent cx="1905000" cy="1905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666666"/>
            </w:tcBorders>
            <w:noWrap/>
            <w:hideMark/>
          </w:tcPr>
          <w:p w14:paraId="67870A8C" w14:textId="77777777" w:rsidR="00ED3C82" w:rsidRPr="007E7FAE" w:rsidRDefault="00ED3C82" w:rsidP="003963C1">
            <w:pPr>
              <w:pStyle w:val="TableText"/>
              <w:keepNext/>
              <w:rPr>
                <w:color w:val="auto"/>
              </w:rPr>
            </w:pPr>
            <w:r w:rsidRPr="007E7FAE">
              <w:rPr>
                <w:color w:val="auto"/>
              </w:rPr>
              <w:t>Signature</w:t>
            </w:r>
          </w:p>
        </w:tc>
      </w:tr>
      <w:tr w:rsidR="007E7FAE" w:rsidRPr="007E7FAE" w14:paraId="317D88FF" w14:textId="77777777" w:rsidTr="007E7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119" w:type="dxa"/>
            <w:tcBorders>
              <w:top w:val="single" w:sz="4" w:space="0" w:color="666666"/>
              <w:right w:val="single" w:sz="4" w:space="0" w:color="666666"/>
            </w:tcBorders>
            <w:noWrap/>
          </w:tcPr>
          <w:sdt>
            <w:sdtPr>
              <w:alias w:val="Print name"/>
              <w:tag w:val="Print name"/>
              <w:id w:val="-994647644"/>
              <w:placeholder>
                <w:docPart w:val="CD2F07D1AAFC45F0AF084010F3C19738"/>
              </w:placeholder>
              <w:showingPlcHdr/>
              <w:text/>
            </w:sdtPr>
            <w:sdtEndPr/>
            <w:sdtContent>
              <w:p w14:paraId="70C4FAFE" w14:textId="518DE73E" w:rsidR="007E7FAE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724E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4FDDE2DA" w14:textId="226BCEBD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 xml:space="preserve">Print </w:t>
            </w:r>
            <w:r w:rsidR="00ED2A45">
              <w:rPr>
                <w:color w:val="auto"/>
              </w:rPr>
              <w:t>n</w:t>
            </w:r>
            <w:r w:rsidRPr="007E7FAE">
              <w:rPr>
                <w:color w:val="auto"/>
              </w:rPr>
              <w:t>ame</w:t>
            </w:r>
          </w:p>
        </w:tc>
        <w:sdt>
          <w:sdtPr>
            <w:alias w:val="Print name"/>
            <w:tag w:val="Print name"/>
            <w:id w:val="1448118054"/>
            <w:placeholder>
              <w:docPart w:val="81085CB4F2CC497FB8727577C284F545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666666"/>
                  <w:left w:val="single" w:sz="4" w:space="0" w:color="666666"/>
                  <w:right w:val="single" w:sz="4" w:space="0" w:color="666666"/>
                </w:tcBorders>
              </w:tcPr>
              <w:p w14:paraId="0E549359" w14:textId="1364DEB8" w:rsidR="00ED3C82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724E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666666"/>
              <w:left w:val="single" w:sz="4" w:space="0" w:color="666666"/>
            </w:tcBorders>
            <w:noWrap/>
            <w:hideMark/>
          </w:tcPr>
          <w:p w14:paraId="5DA5821D" w14:textId="63E7CAB9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 xml:space="preserve">Print </w:t>
            </w:r>
            <w:r w:rsidR="00ED2A45">
              <w:rPr>
                <w:color w:val="auto"/>
              </w:rPr>
              <w:t>n</w:t>
            </w:r>
            <w:r w:rsidRPr="007E7FAE">
              <w:rPr>
                <w:color w:val="auto"/>
              </w:rPr>
              <w:t>ame</w:t>
            </w:r>
          </w:p>
        </w:tc>
      </w:tr>
      <w:tr w:rsidR="007E7FAE" w:rsidRPr="007E7FAE" w14:paraId="5BE7A023" w14:textId="77777777" w:rsidTr="007E7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alias w:val="Position"/>
            <w:tag w:val="Position"/>
            <w:id w:val="-1519153064"/>
            <w:placeholder>
              <w:docPart w:val="8B91F67E10054FF4BF3103306183E856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666666"/>
                  <w:right w:val="single" w:sz="4" w:space="0" w:color="666666"/>
                </w:tcBorders>
                <w:noWrap/>
              </w:tcPr>
              <w:p w14:paraId="37FD7F25" w14:textId="67995E2F" w:rsidR="00ED3C82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724E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1303867C" w14:textId="77777777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Position</w:t>
            </w:r>
          </w:p>
        </w:tc>
        <w:sdt>
          <w:sdtPr>
            <w:alias w:val="Position"/>
            <w:tag w:val="Position"/>
            <w:id w:val="1622262065"/>
            <w:placeholder>
              <w:docPart w:val="9D71415912194CC6AC10FE5E0E2ADFA3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666666"/>
                  <w:left w:val="single" w:sz="4" w:space="0" w:color="666666"/>
                  <w:right w:val="single" w:sz="4" w:space="0" w:color="666666"/>
                </w:tcBorders>
              </w:tcPr>
              <w:p w14:paraId="094B06F0" w14:textId="75CBD21B" w:rsidR="00ED3C82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724E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666666"/>
              <w:left w:val="single" w:sz="4" w:space="0" w:color="666666"/>
            </w:tcBorders>
            <w:noWrap/>
            <w:hideMark/>
          </w:tcPr>
          <w:p w14:paraId="1E55C808" w14:textId="77777777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Position</w:t>
            </w:r>
          </w:p>
        </w:tc>
      </w:tr>
      <w:tr w:rsidR="007E7FAE" w:rsidRPr="007E7FAE" w14:paraId="2E92AE8F" w14:textId="77777777" w:rsidTr="007E7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sdt>
          <w:sdtPr>
            <w:alias w:val="Date"/>
            <w:tag w:val="Date"/>
            <w:id w:val="-653830595"/>
            <w:placeholder>
              <w:docPart w:val="2C0F1A7873CA40A4938C750BE594078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666666"/>
                  <w:right w:val="single" w:sz="4" w:space="0" w:color="666666"/>
                </w:tcBorders>
                <w:noWrap/>
              </w:tcPr>
              <w:p w14:paraId="5FF7589F" w14:textId="55C5C144" w:rsidR="00ED3C82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C5581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2F0FB9E8" w14:textId="77777777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Date</w:t>
            </w:r>
          </w:p>
        </w:tc>
        <w:sdt>
          <w:sdtPr>
            <w:alias w:val="Date"/>
            <w:tag w:val="Date"/>
            <w:id w:val="-114757840"/>
            <w:placeholder>
              <w:docPart w:val="68119AEFFFE640F7BB67220537AA18A9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666666"/>
                  <w:left w:val="single" w:sz="4" w:space="0" w:color="666666"/>
                  <w:right w:val="single" w:sz="4" w:space="0" w:color="666666"/>
                </w:tcBorders>
              </w:tcPr>
              <w:p w14:paraId="095BD393" w14:textId="40B9FB4E" w:rsidR="00ED3C82" w:rsidRPr="007E7FAE" w:rsidRDefault="00AC09B7" w:rsidP="00B60197">
                <w:pPr>
                  <w:pStyle w:val="TableText"/>
                  <w:rPr>
                    <w:color w:val="auto"/>
                  </w:rPr>
                </w:pPr>
                <w:r w:rsidRPr="00C5581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666666"/>
              <w:left w:val="single" w:sz="4" w:space="0" w:color="666666"/>
            </w:tcBorders>
            <w:noWrap/>
            <w:hideMark/>
          </w:tcPr>
          <w:p w14:paraId="22D05D29" w14:textId="77777777" w:rsidR="00ED3C82" w:rsidRPr="007E7FAE" w:rsidRDefault="00ED3C82" w:rsidP="00B60197">
            <w:pPr>
              <w:pStyle w:val="TableText"/>
              <w:rPr>
                <w:color w:val="auto"/>
              </w:rPr>
            </w:pPr>
            <w:r w:rsidRPr="007E7FAE">
              <w:rPr>
                <w:color w:val="auto"/>
              </w:rPr>
              <w:t>Date</w:t>
            </w:r>
          </w:p>
        </w:tc>
      </w:tr>
      <w:bookmarkEnd w:id="54"/>
    </w:tbl>
    <w:p w14:paraId="6B57FDBB" w14:textId="55F5D457" w:rsidR="006C4883" w:rsidRDefault="006C4883" w:rsidP="00ED3C82"/>
    <w:sectPr w:rsidR="006C4883" w:rsidSect="00582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91" w:bottom="1985" w:left="119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38EB" w14:textId="77777777" w:rsidR="00451B49" w:rsidRDefault="00451B49" w:rsidP="00936EB1">
      <w:pPr>
        <w:spacing w:after="0"/>
      </w:pPr>
      <w:r>
        <w:separator/>
      </w:r>
    </w:p>
    <w:p w14:paraId="446D59A0" w14:textId="77777777" w:rsidR="00451B49" w:rsidRDefault="00451B49"/>
  </w:endnote>
  <w:endnote w:type="continuationSeparator" w:id="0">
    <w:p w14:paraId="4A7CFD04" w14:textId="77777777" w:rsidR="00451B49" w:rsidRDefault="00451B49" w:rsidP="00936EB1">
      <w:pPr>
        <w:spacing w:after="0"/>
      </w:pPr>
      <w:r>
        <w:continuationSeparator/>
      </w:r>
    </w:p>
    <w:p w14:paraId="38034F7B" w14:textId="77777777" w:rsidR="00451B49" w:rsidRDefault="00451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4151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C6D4F" w14:textId="77777777" w:rsidR="0064748E" w:rsidRDefault="0064748E" w:rsidP="000875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125341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A4A5C" w14:textId="77777777" w:rsidR="0064748E" w:rsidRDefault="0064748E" w:rsidP="000875F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64160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F3A362" w14:textId="77777777" w:rsidR="00F67822" w:rsidRDefault="00F67822" w:rsidP="000875F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FB91A" w14:textId="77777777" w:rsidR="00F67822" w:rsidRDefault="00F67822" w:rsidP="00F67822">
    <w:pPr>
      <w:pStyle w:val="Footer"/>
      <w:ind w:right="360"/>
    </w:pPr>
  </w:p>
  <w:p w14:paraId="3D4CC3E3" w14:textId="77777777" w:rsidR="00101BE7" w:rsidRDefault="00101B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713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08950" w14:textId="77777777" w:rsidR="000875F6" w:rsidRDefault="000875F6" w:rsidP="00CB3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809203" w14:textId="77777777" w:rsidR="000875F6" w:rsidRDefault="00F170EA" w:rsidP="000875F6">
    <w:pPr>
      <w:pStyle w:val="Footer"/>
      <w:ind w:right="360"/>
    </w:pPr>
    <w:r w:rsidRPr="00C32368">
      <w:rPr>
        <w:noProof/>
      </w:rPr>
      <w:drawing>
        <wp:anchor distT="0" distB="0" distL="114300" distR="114300" simplePos="0" relativeHeight="251701248" behindDoc="1" locked="0" layoutInCell="1" allowOverlap="1" wp14:anchorId="10FA1DFA" wp14:editId="665CC14E">
          <wp:simplePos x="0" y="0"/>
          <wp:positionH relativeFrom="column">
            <wp:posOffset>-294802</wp:posOffset>
          </wp:positionH>
          <wp:positionV relativeFrom="page">
            <wp:posOffset>9506585</wp:posOffset>
          </wp:positionV>
          <wp:extent cx="2790190" cy="982980"/>
          <wp:effectExtent l="0" t="0" r="0" b="0"/>
          <wp:wrapNone/>
          <wp:docPr id="1794343179" name="Graphic 17943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19ADE" w14:textId="77777777" w:rsidR="00101BE7" w:rsidRDefault="00101B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6E35" w14:textId="5F2CB06D" w:rsidR="004346A0" w:rsidRPr="0064748E" w:rsidRDefault="004346A0" w:rsidP="004346A0">
    <w:pPr>
      <w:pStyle w:val="Footer"/>
    </w:pPr>
    <w:r w:rsidRPr="0064748E">
      <w:t xml:space="preserve">Document version </w:t>
    </w:r>
    <w:r w:rsidR="00ED2A45">
      <w:t>1</w:t>
    </w:r>
    <w:r w:rsidR="00B6539D">
      <w:t>.</w:t>
    </w:r>
    <w:r w:rsidR="0094269E">
      <w:t>5</w:t>
    </w:r>
  </w:p>
  <w:p w14:paraId="295DDD6B" w14:textId="37BC5A76" w:rsidR="004346A0" w:rsidRPr="004346A0" w:rsidRDefault="004346A0" w:rsidP="004346A0">
    <w:pPr>
      <w:pStyle w:val="Footer"/>
      <w:rPr>
        <w:rStyle w:val="PageNumber"/>
        <w:rFonts w:asciiTheme="minorHAnsi" w:hAnsiTheme="minorHAnsi"/>
        <w:color w:val="000000" w:themeColor="text1"/>
      </w:rPr>
    </w:pPr>
    <w:r w:rsidRPr="0064748E">
      <w:t>Date of issue:</w:t>
    </w:r>
    <w:r w:rsidR="00B6539D">
      <w:t xml:space="preserve"> </w:t>
    </w:r>
    <w:r w:rsidR="00B6539D" w:rsidRPr="008C5AE4">
      <w:rPr>
        <w:color w:val="auto"/>
        <w:szCs w:val="17"/>
      </w:rPr>
      <w:fldChar w:fldCharType="begin"/>
    </w:r>
    <w:r w:rsidR="00B6539D" w:rsidRPr="008C5AE4">
      <w:rPr>
        <w:color w:val="auto"/>
        <w:szCs w:val="17"/>
      </w:rPr>
      <w:instrText xml:space="preserve"> savedate \@ "d MMMM yyyy"</w:instrText>
    </w:r>
    <w:r w:rsidR="00B6539D" w:rsidRPr="008C5AE4">
      <w:rPr>
        <w:color w:val="auto"/>
        <w:szCs w:val="17"/>
      </w:rPr>
      <w:fldChar w:fldCharType="separate"/>
    </w:r>
    <w:r w:rsidR="0094269E">
      <w:rPr>
        <w:noProof/>
        <w:color w:val="auto"/>
        <w:szCs w:val="17"/>
      </w:rPr>
      <w:t>14 November 2023</w:t>
    </w:r>
    <w:r w:rsidR="00B6539D" w:rsidRPr="008C5AE4">
      <w:rPr>
        <w:color w:val="auto"/>
        <w:szCs w:val="17"/>
      </w:rPr>
      <w:fldChar w:fldCharType="end"/>
    </w:r>
  </w:p>
  <w:p w14:paraId="11041682" w14:textId="77777777" w:rsidR="00C32368" w:rsidRPr="00C32368" w:rsidRDefault="00C04A34" w:rsidP="00F170EA">
    <w:pPr>
      <w:pStyle w:val="Footer"/>
    </w:pPr>
    <w:r w:rsidRPr="00C32368">
      <w:rPr>
        <w:noProof/>
      </w:rPr>
      <w:drawing>
        <wp:anchor distT="0" distB="0" distL="114300" distR="114300" simplePos="0" relativeHeight="251695104" behindDoc="1" locked="0" layoutInCell="1" allowOverlap="1" wp14:anchorId="081113C1" wp14:editId="122F7608">
          <wp:simplePos x="0" y="0"/>
          <wp:positionH relativeFrom="column">
            <wp:posOffset>-294802</wp:posOffset>
          </wp:positionH>
          <wp:positionV relativeFrom="page">
            <wp:posOffset>9506585</wp:posOffset>
          </wp:positionV>
          <wp:extent cx="2790190" cy="982980"/>
          <wp:effectExtent l="0" t="0" r="0" b="0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6A0" w:rsidRPr="0064748E">
      <w:sym w:font="Symbol" w:char="F0D3"/>
    </w:r>
    <w:r w:rsidR="004346A0" w:rsidRPr="0064748E">
      <w:t xml:space="preserve"> 2023 LSEG.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0172" w14:textId="77777777" w:rsidR="00451B49" w:rsidRDefault="00451B49" w:rsidP="00936EB1">
      <w:pPr>
        <w:spacing w:after="0"/>
      </w:pPr>
      <w:r>
        <w:separator/>
      </w:r>
    </w:p>
    <w:p w14:paraId="4F777BE8" w14:textId="77777777" w:rsidR="00451B49" w:rsidRDefault="00451B49"/>
  </w:footnote>
  <w:footnote w:type="continuationSeparator" w:id="0">
    <w:p w14:paraId="6E3C5B3D" w14:textId="77777777" w:rsidR="00451B49" w:rsidRDefault="00451B49" w:rsidP="00936EB1">
      <w:pPr>
        <w:spacing w:after="0"/>
      </w:pPr>
      <w:r>
        <w:continuationSeparator/>
      </w:r>
    </w:p>
    <w:p w14:paraId="1C852BB9" w14:textId="77777777" w:rsidR="00451B49" w:rsidRDefault="00451B49"/>
  </w:footnote>
  <w:footnote w:id="1">
    <w:p w14:paraId="7C50B8A4" w14:textId="77777777" w:rsidR="00462269" w:rsidRPr="00DB68A6" w:rsidRDefault="00462269" w:rsidP="00462269">
      <w:pPr>
        <w:jc w:val="both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DB68A6">
        <w:rPr>
          <w:rFonts w:cs="Arial"/>
          <w:i/>
          <w:iCs/>
          <w:sz w:val="17"/>
          <w:szCs w:val="17"/>
        </w:rPr>
        <w:t xml:space="preserve">For example, if a </w:t>
      </w:r>
      <w:r>
        <w:rPr>
          <w:rFonts w:cs="Arial"/>
          <w:i/>
          <w:iCs/>
          <w:sz w:val="17"/>
          <w:szCs w:val="17"/>
        </w:rPr>
        <w:t>b</w:t>
      </w:r>
      <w:r w:rsidRPr="00DB68A6">
        <w:rPr>
          <w:rFonts w:cs="Arial"/>
          <w:i/>
          <w:iCs/>
          <w:sz w:val="17"/>
          <w:szCs w:val="17"/>
        </w:rPr>
        <w:t xml:space="preserve">id is at the </w:t>
      </w:r>
      <w:r>
        <w:rPr>
          <w:rFonts w:cs="Arial"/>
          <w:i/>
          <w:iCs/>
          <w:sz w:val="17"/>
          <w:szCs w:val="17"/>
        </w:rPr>
        <w:t>t</w:t>
      </w:r>
      <w:r w:rsidRPr="00DB68A6">
        <w:rPr>
          <w:rFonts w:cs="Arial"/>
          <w:i/>
          <w:iCs/>
          <w:sz w:val="17"/>
          <w:szCs w:val="17"/>
        </w:rPr>
        <w:t xml:space="preserve">op of </w:t>
      </w:r>
      <w:r>
        <w:rPr>
          <w:rFonts w:cs="Arial"/>
          <w:i/>
          <w:iCs/>
          <w:sz w:val="17"/>
          <w:szCs w:val="17"/>
        </w:rPr>
        <w:t>b</w:t>
      </w:r>
      <w:r w:rsidRPr="00DB68A6">
        <w:rPr>
          <w:rFonts w:cs="Arial"/>
          <w:i/>
          <w:iCs/>
          <w:sz w:val="17"/>
          <w:szCs w:val="17"/>
        </w:rPr>
        <w:t xml:space="preserve">ook (book level = one) and the </w:t>
      </w:r>
      <w:r>
        <w:rPr>
          <w:rFonts w:cs="Arial"/>
          <w:i/>
          <w:iCs/>
          <w:sz w:val="17"/>
          <w:szCs w:val="17"/>
        </w:rPr>
        <w:t>o</w:t>
      </w:r>
      <w:r w:rsidRPr="00DB68A6">
        <w:rPr>
          <w:rFonts w:cs="Arial"/>
          <w:i/>
          <w:iCs/>
          <w:sz w:val="17"/>
          <w:szCs w:val="17"/>
        </w:rPr>
        <w:t xml:space="preserve">ffer is at the fourth level in the book, and therefore three price levels away from the </w:t>
      </w:r>
      <w:r>
        <w:rPr>
          <w:rFonts w:cs="Arial"/>
          <w:i/>
          <w:iCs/>
          <w:sz w:val="17"/>
          <w:szCs w:val="17"/>
        </w:rPr>
        <w:t>t</w:t>
      </w:r>
      <w:r w:rsidRPr="00DB68A6">
        <w:rPr>
          <w:rFonts w:cs="Arial"/>
          <w:i/>
          <w:iCs/>
          <w:sz w:val="17"/>
          <w:szCs w:val="17"/>
        </w:rPr>
        <w:t xml:space="preserve">op of </w:t>
      </w:r>
      <w:r>
        <w:rPr>
          <w:rFonts w:cs="Arial"/>
          <w:i/>
          <w:iCs/>
          <w:sz w:val="17"/>
          <w:szCs w:val="17"/>
        </w:rPr>
        <w:t>b</w:t>
      </w:r>
      <w:r w:rsidRPr="00DB68A6">
        <w:rPr>
          <w:rFonts w:cs="Arial"/>
          <w:i/>
          <w:iCs/>
          <w:sz w:val="17"/>
          <w:szCs w:val="17"/>
        </w:rPr>
        <w:t>ook (book level = four)</w:t>
      </w:r>
      <w:r>
        <w:rPr>
          <w:rFonts w:cs="Arial"/>
          <w:i/>
          <w:iCs/>
          <w:sz w:val="17"/>
          <w:szCs w:val="17"/>
        </w:rPr>
        <w:t>,</w:t>
      </w:r>
      <w:r w:rsidRPr="00DB68A6">
        <w:rPr>
          <w:rFonts w:cs="Arial"/>
          <w:i/>
          <w:iCs/>
          <w:sz w:val="17"/>
          <w:szCs w:val="17"/>
        </w:rPr>
        <w:t xml:space="preserve"> the sum of its book levels is five and the trade meets the competitive price criteria.</w:t>
      </w:r>
    </w:p>
  </w:footnote>
  <w:footnote w:id="2">
    <w:p w14:paraId="06E0BE25" w14:textId="0F1B379D" w:rsidR="00ED3C82" w:rsidRPr="00BC4C22" w:rsidRDefault="00ED3C82" w:rsidP="00ED3C82">
      <w:pPr>
        <w:pStyle w:val="FootnoteText"/>
        <w:jc w:val="both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rFonts w:eastAsia="Calibri" w:cs="Arial"/>
          <w:bCs/>
          <w:i/>
          <w:color w:val="000000"/>
          <w:sz w:val="17"/>
          <w:szCs w:val="17"/>
        </w:rPr>
        <w:t>For example, i</w:t>
      </w:r>
      <w:r>
        <w:rPr>
          <w:rFonts w:cs="Arial"/>
          <w:i/>
          <w:color w:val="000000"/>
          <w:sz w:val="17"/>
          <w:szCs w:val="17"/>
        </w:rPr>
        <w:t xml:space="preserve">f </w:t>
      </w:r>
      <w:r w:rsidR="00B44623">
        <w:rPr>
          <w:rFonts w:cs="Arial"/>
          <w:i/>
          <w:color w:val="000000"/>
          <w:sz w:val="17"/>
          <w:szCs w:val="17"/>
        </w:rPr>
        <w:t xml:space="preserve">the </w:t>
      </w:r>
      <w:r>
        <w:rPr>
          <w:rFonts w:cs="Arial"/>
          <w:i/>
          <w:color w:val="000000"/>
          <w:sz w:val="17"/>
          <w:szCs w:val="17"/>
        </w:rPr>
        <w:t>Client qualifies for the Incentive Rate Card</w:t>
      </w:r>
      <w:r>
        <w:rPr>
          <w:rFonts w:cs="Arial"/>
          <w:i/>
          <w:iCs/>
          <w:sz w:val="17"/>
          <w:szCs w:val="17"/>
        </w:rPr>
        <w:t xml:space="preserve"> and </w:t>
      </w:r>
      <w:r>
        <w:rPr>
          <w:rFonts w:cs="Arial"/>
          <w:i/>
          <w:color w:val="000000"/>
          <w:sz w:val="17"/>
          <w:szCs w:val="17"/>
        </w:rPr>
        <w:t xml:space="preserve">trades $21B in Aggressor EUR/USD volume, the first $20B is charged at $0.20 per $M, and the remaining $1B is charged at $0.10 per $M. If the same </w:t>
      </w:r>
      <w:r w:rsidR="00B44623">
        <w:rPr>
          <w:rFonts w:cs="Arial"/>
          <w:i/>
          <w:color w:val="000000"/>
          <w:sz w:val="17"/>
          <w:szCs w:val="17"/>
        </w:rPr>
        <w:t xml:space="preserve">the </w:t>
      </w:r>
      <w:r>
        <w:rPr>
          <w:rFonts w:cs="Arial"/>
          <w:i/>
          <w:color w:val="000000"/>
          <w:sz w:val="17"/>
          <w:szCs w:val="17"/>
        </w:rPr>
        <w:t>Client trades $31B in Aggressor volume across all other currency pairs then the first $20B is charged at $0.40 per $M, the next $10B is charged at $0.30, and the remaining $1B is charged at $0.20 per $M</w:t>
      </w:r>
      <w:r>
        <w:rPr>
          <w:rFonts w:cs="Arial"/>
          <w:i/>
          <w:iCs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27391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D5D621" w14:textId="77777777" w:rsidR="00F170EA" w:rsidRDefault="00F170EA" w:rsidP="0027363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847CF0" w14:textId="77777777" w:rsidR="00F170EA" w:rsidRDefault="00F170EA" w:rsidP="00F170EA">
    <w:pPr>
      <w:pStyle w:val="Header"/>
      <w:ind w:right="360"/>
    </w:pPr>
  </w:p>
  <w:p w14:paraId="2D8D3931" w14:textId="77777777" w:rsidR="00101BE7" w:rsidRDefault="00101B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2323" w14:textId="607E8902" w:rsidR="00F67822" w:rsidRPr="00A00329" w:rsidRDefault="00ED3C82" w:rsidP="00ED3C82">
    <w:pPr>
      <w:pStyle w:val="Header"/>
      <w:ind w:right="360"/>
    </w:pPr>
    <w:r>
      <w:t>Forwards Matching Liquidity Provider Incentive Agreement</w:t>
    </w:r>
    <w:r w:rsidR="006F2F45">
      <mc:AlternateContent>
        <mc:Choice Requires="wps">
          <w:drawing>
            <wp:anchor distT="0" distB="0" distL="114300" distR="114300" simplePos="0" relativeHeight="251670016" behindDoc="1" locked="0" layoutInCell="1" allowOverlap="1" wp14:anchorId="570D9CC5" wp14:editId="404422DC">
              <wp:simplePos x="0" y="0"/>
              <wp:positionH relativeFrom="page">
                <wp:posOffset>744855</wp:posOffset>
              </wp:positionH>
              <wp:positionV relativeFrom="page">
                <wp:posOffset>683895</wp:posOffset>
              </wp:positionV>
              <wp:extent cx="6051600" cy="0"/>
              <wp:effectExtent l="0" t="12700" r="1905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600" cy="0"/>
                      </a:xfrm>
                      <a:prstGeom prst="line">
                        <a:avLst/>
                      </a:prstGeom>
                      <a:ln w="19050"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3"/>
                            </a:gs>
                          </a:gsLst>
                          <a:lin ang="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DDBDC" id="Straight Connector 11" o:spid="_x0000_s1026" style="position:absolute;z-index:-251646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65pt,53.85pt" to="535.1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" strokeweight="1.5pt">
              <v:stroke joinstyle="miter"/>
              <w10:wrap anchorx="page" anchory="page"/>
            </v:line>
          </w:pict>
        </mc:Fallback>
      </mc:AlternateContent>
    </w:r>
  </w:p>
  <w:p w14:paraId="43702035" w14:textId="77777777" w:rsidR="00101BE7" w:rsidRDefault="00101B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E6AE" w14:textId="095CA9D5" w:rsidR="001E6B8A" w:rsidRPr="00C32368" w:rsidRDefault="00254A83" w:rsidP="00023DD8">
    <w:pPr>
      <w:spacing w:after="5400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F70C41A" wp14:editId="42EC11F1">
              <wp:simplePos x="0" y="0"/>
              <wp:positionH relativeFrom="margin">
                <wp:posOffset>-6985</wp:posOffset>
              </wp:positionH>
              <wp:positionV relativeFrom="page">
                <wp:posOffset>1092200</wp:posOffset>
              </wp:positionV>
              <wp:extent cx="5029200" cy="2374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37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CFDD1C" w14:textId="2B3ADC62" w:rsidR="00C32368" w:rsidRPr="00C32368" w:rsidRDefault="009C5D23" w:rsidP="00C32368">
                          <w:pPr>
                            <w:pStyle w:val="Title"/>
                          </w:pPr>
                          <w:r>
                            <w:t>LSEG FX EU MTF</w:t>
                          </w:r>
                        </w:p>
                        <w:p w14:paraId="4CBB37A5" w14:textId="26898895" w:rsidR="003E1017" w:rsidRDefault="003E1017" w:rsidP="00C32368">
                          <w:pPr>
                            <w:pStyle w:val="Subtitle"/>
                          </w:pPr>
                          <w:r>
                            <w:t>Forwards Matching</w:t>
                          </w:r>
                        </w:p>
                        <w:p w14:paraId="5E624A98" w14:textId="54549A95" w:rsidR="00C32368" w:rsidRPr="00C32368" w:rsidRDefault="00ED3C82" w:rsidP="00C32368">
                          <w:pPr>
                            <w:pStyle w:val="Subtitle"/>
                          </w:pPr>
                          <w:r>
                            <w:t>Liquidity Provider Incentive Agreement</w:t>
                          </w:r>
                          <w:r w:rsidR="00C32368" w:rsidRPr="00C3236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0C4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55pt;margin-top:86pt;width:396pt;height:18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" filled="f" stroked="f" strokeweight=".5pt">
              <v:textbox inset="0,0,0,0">
                <w:txbxContent>
                  <w:p w14:paraId="41CFDD1C" w14:textId="2B3ADC62" w:rsidR="00C32368" w:rsidRPr="00C32368" w:rsidRDefault="009C5D23" w:rsidP="00C32368">
                    <w:pPr>
                      <w:pStyle w:val="Title"/>
                    </w:pPr>
                    <w:r>
                      <w:t>LSEG FX EU MTF</w:t>
                    </w:r>
                  </w:p>
                  <w:p w14:paraId="4CBB37A5" w14:textId="26898895" w:rsidR="003E1017" w:rsidRDefault="003E1017" w:rsidP="00C32368">
                    <w:pPr>
                      <w:pStyle w:val="Subtitle"/>
                    </w:pPr>
                    <w:r>
                      <w:t>Forwards Matching</w:t>
                    </w:r>
                  </w:p>
                  <w:p w14:paraId="5E624A98" w14:textId="54549A95" w:rsidR="00C32368" w:rsidRPr="00C32368" w:rsidRDefault="00ED3C82" w:rsidP="00C32368">
                    <w:pPr>
                      <w:pStyle w:val="Subtitle"/>
                    </w:pPr>
                    <w:r>
                      <w:t>Liquidity Provider Incentive Agreement</w:t>
                    </w:r>
                    <w:r w:rsidR="00C32368" w:rsidRPr="00C32368"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 wp14:anchorId="0272B202" wp14:editId="052395D3">
          <wp:simplePos x="0" y="0"/>
          <wp:positionH relativeFrom="page">
            <wp:posOffset>5397500</wp:posOffset>
          </wp:positionH>
          <wp:positionV relativeFrom="page">
            <wp:posOffset>1092200</wp:posOffset>
          </wp:positionV>
          <wp:extent cx="2159635" cy="2489200"/>
          <wp:effectExtent l="0" t="0" r="0" b="0"/>
          <wp:wrapNone/>
          <wp:docPr id="906171158" name="Picture 906171158" descr="A blue x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780352" name="Picture 1" descr="A blue x on a black background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59635" cy="248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13781BE" wp14:editId="09792870">
              <wp:simplePos x="0" y="0"/>
              <wp:positionH relativeFrom="page">
                <wp:posOffset>762000</wp:posOffset>
              </wp:positionH>
              <wp:positionV relativeFrom="page">
                <wp:posOffset>3581400</wp:posOffset>
              </wp:positionV>
              <wp:extent cx="5770800" cy="0"/>
              <wp:effectExtent l="0" t="12700" r="20955" b="12700"/>
              <wp:wrapNone/>
              <wp:docPr id="338377065" name="Straight Connector 3383770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76B99" id="Straight Connector 338377065" o:spid="_x0000_s1026" style="position:absolute;z-index:-251611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pt,282pt" to="514.4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" strokecolor="#001dff [3215]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47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5E1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4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AA3BA"/>
    <w:lvl w:ilvl="0">
      <w:start w:val="1"/>
      <w:numFmt w:val="lowerLetter"/>
      <w:pStyle w:val="ListNumber2"/>
      <w:lvlText w:val="%1."/>
      <w:lvlJc w:val="left"/>
      <w:pPr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0603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A0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585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D02B72"/>
    <w:lvl w:ilvl="0">
      <w:start w:val="1"/>
      <w:numFmt w:val="bullet"/>
      <w:pStyle w:val="ListBullet2"/>
      <w:lvlText w:val="–"/>
      <w:lvlJc w:val="left"/>
      <w:pPr>
        <w:tabs>
          <w:tab w:val="num" w:pos="284"/>
        </w:tabs>
        <w:ind w:left="284" w:hanging="1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B218B7C4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0E45E65"/>
    <w:multiLevelType w:val="hybridMultilevel"/>
    <w:tmpl w:val="55261972"/>
    <w:lvl w:ilvl="0" w:tplc="A4748FE0">
      <w:start w:val="1"/>
      <w:numFmt w:val="decimal"/>
      <w:pStyle w:val="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17368"/>
    <w:multiLevelType w:val="hybridMultilevel"/>
    <w:tmpl w:val="4072B68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7172F7"/>
    <w:multiLevelType w:val="hybridMultilevel"/>
    <w:tmpl w:val="25049336"/>
    <w:lvl w:ilvl="0" w:tplc="2D9C0D5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974A38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10FE1C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B3A5D"/>
    <w:multiLevelType w:val="hybridMultilevel"/>
    <w:tmpl w:val="67EA0D42"/>
    <w:lvl w:ilvl="0" w:tplc="E6D07E16">
      <w:start w:val="1"/>
      <w:numFmt w:val="lowerLetter"/>
      <w:pStyle w:val="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0975"/>
    <w:multiLevelType w:val="multilevel"/>
    <w:tmpl w:val="DF58B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541C4"/>
    <w:multiLevelType w:val="hybridMultilevel"/>
    <w:tmpl w:val="B8D41F04"/>
    <w:lvl w:ilvl="0" w:tplc="42A8A8CA">
      <w:start w:val="1"/>
      <w:numFmt w:val="decimal"/>
      <w:pStyle w:val="ListNumber"/>
      <w:lvlText w:val="%1."/>
      <w:lvlJc w:val="left"/>
      <w:pPr>
        <w:ind w:left="0" w:firstLine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35216"/>
    <w:multiLevelType w:val="hybridMultilevel"/>
    <w:tmpl w:val="771AA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213B"/>
    <w:multiLevelType w:val="multilevel"/>
    <w:tmpl w:val="AFCCC4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384421"/>
    <w:multiLevelType w:val="hybridMultilevel"/>
    <w:tmpl w:val="D9F2CE9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A6870"/>
    <w:multiLevelType w:val="multilevel"/>
    <w:tmpl w:val="70E8E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D1801FD"/>
    <w:multiLevelType w:val="multilevel"/>
    <w:tmpl w:val="FC640CD2"/>
    <w:styleLink w:val="LSEGFXnumberedheadings"/>
    <w:lvl w:ilvl="0">
      <w:start w:val="1"/>
      <w:numFmt w:val="decimal"/>
      <w:pStyle w:val="Subhead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11397B"/>
    <w:multiLevelType w:val="multilevel"/>
    <w:tmpl w:val="FC640CD2"/>
    <w:numStyleLink w:val="LSEGFXnumberedheadings"/>
  </w:abstractNum>
  <w:abstractNum w:abstractNumId="21" w15:restartNumberingAfterBreak="0">
    <w:nsid w:val="5A6C263E"/>
    <w:multiLevelType w:val="hybridMultilevel"/>
    <w:tmpl w:val="63A67716"/>
    <w:lvl w:ilvl="0" w:tplc="12A6ABE0">
      <w:start w:val="1"/>
      <w:numFmt w:val="bullet"/>
      <w:pStyle w:val="Bullet"/>
      <w:lvlText w:val=""/>
      <w:lvlJc w:val="left"/>
      <w:pPr>
        <w:ind w:left="2931" w:hanging="360"/>
      </w:pPr>
      <w:rPr>
        <w:rFonts w:ascii="Symbol" w:hAnsi="Symbol" w:hint="default"/>
        <w:color w:val="0000FF"/>
      </w:rPr>
    </w:lvl>
    <w:lvl w:ilvl="1" w:tplc="A0F698B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2" w15:restartNumberingAfterBreak="0">
    <w:nsid w:val="658D12FF"/>
    <w:multiLevelType w:val="hybridMultilevel"/>
    <w:tmpl w:val="C8502A52"/>
    <w:lvl w:ilvl="0" w:tplc="EA88E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5A4847"/>
    <w:multiLevelType w:val="multilevel"/>
    <w:tmpl w:val="FC640CD2"/>
    <w:numStyleLink w:val="LSEGFXnumberedheadings"/>
  </w:abstractNum>
  <w:abstractNum w:abstractNumId="24" w15:restartNumberingAfterBreak="0">
    <w:nsid w:val="6E85368A"/>
    <w:multiLevelType w:val="hybridMultilevel"/>
    <w:tmpl w:val="C39858F0"/>
    <w:lvl w:ilvl="0" w:tplc="6308BC52">
      <w:start w:val="1"/>
      <w:numFmt w:val="bullet"/>
      <w:pStyle w:val="Bullet2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D2433C"/>
    <w:multiLevelType w:val="hybridMultilevel"/>
    <w:tmpl w:val="D9F2CE9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7229200">
    <w:abstractNumId w:val="3"/>
  </w:num>
  <w:num w:numId="2" w16cid:durableId="1275093757">
    <w:abstractNumId w:val="7"/>
  </w:num>
  <w:num w:numId="3" w16cid:durableId="561066369">
    <w:abstractNumId w:val="8"/>
  </w:num>
  <w:num w:numId="4" w16cid:durableId="849412690">
    <w:abstractNumId w:val="14"/>
  </w:num>
  <w:num w:numId="5" w16cid:durableId="719355620">
    <w:abstractNumId w:val="16"/>
  </w:num>
  <w:num w:numId="6" w16cid:durableId="512649387">
    <w:abstractNumId w:val="19"/>
  </w:num>
  <w:num w:numId="7" w16cid:durableId="334842222">
    <w:abstractNumId w:val="20"/>
  </w:num>
  <w:num w:numId="8" w16cid:durableId="545833">
    <w:abstractNumId w:val="21"/>
  </w:num>
  <w:num w:numId="9" w16cid:durableId="1684086024">
    <w:abstractNumId w:val="9"/>
  </w:num>
  <w:num w:numId="10" w16cid:durableId="62993210">
    <w:abstractNumId w:val="24"/>
  </w:num>
  <w:num w:numId="11" w16cid:durableId="1313484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281027">
    <w:abstractNumId w:val="13"/>
  </w:num>
  <w:num w:numId="13" w16cid:durableId="1290895132">
    <w:abstractNumId w:val="15"/>
  </w:num>
  <w:num w:numId="14" w16cid:durableId="782070018">
    <w:abstractNumId w:val="18"/>
  </w:num>
  <w:num w:numId="15" w16cid:durableId="548342076">
    <w:abstractNumId w:val="22"/>
  </w:num>
  <w:num w:numId="16" w16cid:durableId="2136438727">
    <w:abstractNumId w:val="25"/>
  </w:num>
  <w:num w:numId="17" w16cid:durableId="1158882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6051006">
    <w:abstractNumId w:val="10"/>
  </w:num>
  <w:num w:numId="19" w16cid:durableId="287080344">
    <w:abstractNumId w:val="17"/>
  </w:num>
  <w:num w:numId="20" w16cid:durableId="495075552">
    <w:abstractNumId w:val="11"/>
  </w:num>
  <w:num w:numId="21" w16cid:durableId="2022662355">
    <w:abstractNumId w:val="6"/>
  </w:num>
  <w:num w:numId="22" w16cid:durableId="1378237003">
    <w:abstractNumId w:val="5"/>
  </w:num>
  <w:num w:numId="23" w16cid:durableId="1438910096">
    <w:abstractNumId w:val="4"/>
  </w:num>
  <w:num w:numId="24" w16cid:durableId="2055889034">
    <w:abstractNumId w:val="2"/>
  </w:num>
  <w:num w:numId="25" w16cid:durableId="2023625812">
    <w:abstractNumId w:val="1"/>
  </w:num>
  <w:num w:numId="26" w16cid:durableId="628244535">
    <w:abstractNumId w:val="0"/>
  </w:num>
  <w:num w:numId="27" w16cid:durableId="1272283113">
    <w:abstractNumId w:val="23"/>
  </w:num>
  <w:num w:numId="28" w16cid:durableId="1723093795">
    <w:abstractNumId w:val="12"/>
  </w:num>
  <w:num w:numId="29" w16cid:durableId="1470513063">
    <w:abstractNumId w:val="12"/>
    <w:lvlOverride w:ilvl="0">
      <w:startOverride w:val="1"/>
    </w:lvlOverride>
  </w:num>
  <w:num w:numId="30" w16cid:durableId="1526484767">
    <w:abstractNumId w:val="12"/>
    <w:lvlOverride w:ilvl="0">
      <w:startOverride w:val="1"/>
    </w:lvlOverride>
  </w:num>
  <w:num w:numId="31" w16cid:durableId="232594047">
    <w:abstractNumId w:val="12"/>
    <w:lvlOverride w:ilvl="0">
      <w:startOverride w:val="1"/>
    </w:lvlOverride>
  </w:num>
  <w:num w:numId="32" w16cid:durableId="658536553">
    <w:abstractNumId w:val="12"/>
    <w:lvlOverride w:ilvl="0">
      <w:startOverride w:val="1"/>
    </w:lvlOverride>
  </w:num>
  <w:num w:numId="33" w16cid:durableId="751511769">
    <w:abstractNumId w:val="1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gg8Vai2KbC3ACkkYznOv+5P7CCSUOtMrQgE9e1APkLL4VPirWuAiNR69olqd7kFWANcFG/y3VhZVBpAo+p08fw==" w:salt="+RD2vD9yF3EnNrTT2zCOsg==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82"/>
    <w:rsid w:val="00006944"/>
    <w:rsid w:val="00022F6B"/>
    <w:rsid w:val="00023DD8"/>
    <w:rsid w:val="00037177"/>
    <w:rsid w:val="00054A78"/>
    <w:rsid w:val="0006200E"/>
    <w:rsid w:val="0008055D"/>
    <w:rsid w:val="000866AD"/>
    <w:rsid w:val="000875F6"/>
    <w:rsid w:val="000D1A43"/>
    <w:rsid w:val="000E04E3"/>
    <w:rsid w:val="00100D1F"/>
    <w:rsid w:val="00101BE7"/>
    <w:rsid w:val="00101E33"/>
    <w:rsid w:val="001166F1"/>
    <w:rsid w:val="001177CF"/>
    <w:rsid w:val="00125B72"/>
    <w:rsid w:val="00131DCE"/>
    <w:rsid w:val="00133C4C"/>
    <w:rsid w:val="00146089"/>
    <w:rsid w:val="00155373"/>
    <w:rsid w:val="00171E13"/>
    <w:rsid w:val="001761B7"/>
    <w:rsid w:val="001A0670"/>
    <w:rsid w:val="001B73F5"/>
    <w:rsid w:val="001B7C64"/>
    <w:rsid w:val="001C542F"/>
    <w:rsid w:val="001E6B8A"/>
    <w:rsid w:val="001F6E3A"/>
    <w:rsid w:val="001F6F7C"/>
    <w:rsid w:val="002214DA"/>
    <w:rsid w:val="002240DF"/>
    <w:rsid w:val="00232195"/>
    <w:rsid w:val="00253456"/>
    <w:rsid w:val="00254A83"/>
    <w:rsid w:val="00255BCE"/>
    <w:rsid w:val="0026387F"/>
    <w:rsid w:val="00270F08"/>
    <w:rsid w:val="00270F6B"/>
    <w:rsid w:val="002855B2"/>
    <w:rsid w:val="00297BBB"/>
    <w:rsid w:val="002B10DF"/>
    <w:rsid w:val="002C20AE"/>
    <w:rsid w:val="002D06F8"/>
    <w:rsid w:val="00331483"/>
    <w:rsid w:val="00331FA1"/>
    <w:rsid w:val="00391882"/>
    <w:rsid w:val="00392857"/>
    <w:rsid w:val="0039396F"/>
    <w:rsid w:val="003963C1"/>
    <w:rsid w:val="003A3544"/>
    <w:rsid w:val="003D7EE6"/>
    <w:rsid w:val="003E1017"/>
    <w:rsid w:val="00405DA9"/>
    <w:rsid w:val="00405EDD"/>
    <w:rsid w:val="00427AFB"/>
    <w:rsid w:val="004346A0"/>
    <w:rsid w:val="00447F1E"/>
    <w:rsid w:val="00451B49"/>
    <w:rsid w:val="00452C01"/>
    <w:rsid w:val="00462269"/>
    <w:rsid w:val="00463073"/>
    <w:rsid w:val="00482E05"/>
    <w:rsid w:val="00495F6C"/>
    <w:rsid w:val="00497EA1"/>
    <w:rsid w:val="004A2DEC"/>
    <w:rsid w:val="004C04DD"/>
    <w:rsid w:val="004E4458"/>
    <w:rsid w:val="004E4DFA"/>
    <w:rsid w:val="004F7E9C"/>
    <w:rsid w:val="005029E9"/>
    <w:rsid w:val="0050641D"/>
    <w:rsid w:val="00511B15"/>
    <w:rsid w:val="0051398D"/>
    <w:rsid w:val="0053658A"/>
    <w:rsid w:val="005431B9"/>
    <w:rsid w:val="00544DC8"/>
    <w:rsid w:val="0056138F"/>
    <w:rsid w:val="0056275D"/>
    <w:rsid w:val="005822C8"/>
    <w:rsid w:val="00583B13"/>
    <w:rsid w:val="0058678C"/>
    <w:rsid w:val="00597435"/>
    <w:rsid w:val="005A59EC"/>
    <w:rsid w:val="005C3667"/>
    <w:rsid w:val="005D7EC8"/>
    <w:rsid w:val="005E447C"/>
    <w:rsid w:val="005F10F4"/>
    <w:rsid w:val="00604272"/>
    <w:rsid w:val="00605514"/>
    <w:rsid w:val="00610F7D"/>
    <w:rsid w:val="006312C2"/>
    <w:rsid w:val="00634397"/>
    <w:rsid w:val="00636D7B"/>
    <w:rsid w:val="00642185"/>
    <w:rsid w:val="0064748E"/>
    <w:rsid w:val="0065543D"/>
    <w:rsid w:val="00661B9D"/>
    <w:rsid w:val="0066474E"/>
    <w:rsid w:val="00664F3C"/>
    <w:rsid w:val="006874F6"/>
    <w:rsid w:val="006966E1"/>
    <w:rsid w:val="006A7CE3"/>
    <w:rsid w:val="006C31F4"/>
    <w:rsid w:val="006C4883"/>
    <w:rsid w:val="006E5B23"/>
    <w:rsid w:val="006F2F45"/>
    <w:rsid w:val="006F42C0"/>
    <w:rsid w:val="0072265E"/>
    <w:rsid w:val="00737DFB"/>
    <w:rsid w:val="00782444"/>
    <w:rsid w:val="00784E93"/>
    <w:rsid w:val="00786F56"/>
    <w:rsid w:val="007A354C"/>
    <w:rsid w:val="007C1ED0"/>
    <w:rsid w:val="007C5F22"/>
    <w:rsid w:val="007D0F1B"/>
    <w:rsid w:val="007D1BE2"/>
    <w:rsid w:val="007D4662"/>
    <w:rsid w:val="007E7FAE"/>
    <w:rsid w:val="008215D8"/>
    <w:rsid w:val="00826406"/>
    <w:rsid w:val="0082642D"/>
    <w:rsid w:val="00832DB1"/>
    <w:rsid w:val="008344A5"/>
    <w:rsid w:val="00844182"/>
    <w:rsid w:val="0086175A"/>
    <w:rsid w:val="00891530"/>
    <w:rsid w:val="00895B3F"/>
    <w:rsid w:val="008A31FC"/>
    <w:rsid w:val="008A3E1F"/>
    <w:rsid w:val="008B56D0"/>
    <w:rsid w:val="008C57D1"/>
    <w:rsid w:val="008E223D"/>
    <w:rsid w:val="008E59C1"/>
    <w:rsid w:val="008F5D3D"/>
    <w:rsid w:val="009010FD"/>
    <w:rsid w:val="009144C5"/>
    <w:rsid w:val="00936EB1"/>
    <w:rsid w:val="0094269E"/>
    <w:rsid w:val="00945095"/>
    <w:rsid w:val="00955ED8"/>
    <w:rsid w:val="00971C8A"/>
    <w:rsid w:val="00986F8E"/>
    <w:rsid w:val="00987293"/>
    <w:rsid w:val="009C3BF6"/>
    <w:rsid w:val="009C5D23"/>
    <w:rsid w:val="009D0255"/>
    <w:rsid w:val="009D0268"/>
    <w:rsid w:val="009E6692"/>
    <w:rsid w:val="009E6AA3"/>
    <w:rsid w:val="009F268E"/>
    <w:rsid w:val="00A00329"/>
    <w:rsid w:val="00A0779B"/>
    <w:rsid w:val="00A238EF"/>
    <w:rsid w:val="00A35DD6"/>
    <w:rsid w:val="00A362D7"/>
    <w:rsid w:val="00A53E95"/>
    <w:rsid w:val="00A5464B"/>
    <w:rsid w:val="00A551EF"/>
    <w:rsid w:val="00A556A4"/>
    <w:rsid w:val="00A57E1B"/>
    <w:rsid w:val="00A67227"/>
    <w:rsid w:val="00A80B12"/>
    <w:rsid w:val="00A8149F"/>
    <w:rsid w:val="00A875E9"/>
    <w:rsid w:val="00AB2E84"/>
    <w:rsid w:val="00AB3107"/>
    <w:rsid w:val="00AC09B7"/>
    <w:rsid w:val="00AC6E78"/>
    <w:rsid w:val="00AD41BA"/>
    <w:rsid w:val="00AD6748"/>
    <w:rsid w:val="00AF6D2F"/>
    <w:rsid w:val="00B10C4D"/>
    <w:rsid w:val="00B302CB"/>
    <w:rsid w:val="00B30BA2"/>
    <w:rsid w:val="00B30EC2"/>
    <w:rsid w:val="00B33B1D"/>
    <w:rsid w:val="00B44623"/>
    <w:rsid w:val="00B54C50"/>
    <w:rsid w:val="00B60197"/>
    <w:rsid w:val="00B6539D"/>
    <w:rsid w:val="00B76824"/>
    <w:rsid w:val="00B829E6"/>
    <w:rsid w:val="00BA47F6"/>
    <w:rsid w:val="00BC1499"/>
    <w:rsid w:val="00BE4A5B"/>
    <w:rsid w:val="00BF010D"/>
    <w:rsid w:val="00BF7A9E"/>
    <w:rsid w:val="00C02A1B"/>
    <w:rsid w:val="00C04A34"/>
    <w:rsid w:val="00C23A54"/>
    <w:rsid w:val="00C32368"/>
    <w:rsid w:val="00C35D5F"/>
    <w:rsid w:val="00C828AC"/>
    <w:rsid w:val="00C866F1"/>
    <w:rsid w:val="00C9404D"/>
    <w:rsid w:val="00CB68A6"/>
    <w:rsid w:val="00CC6C21"/>
    <w:rsid w:val="00CF31D5"/>
    <w:rsid w:val="00D106D4"/>
    <w:rsid w:val="00D126DF"/>
    <w:rsid w:val="00D277AA"/>
    <w:rsid w:val="00D46A49"/>
    <w:rsid w:val="00D53A55"/>
    <w:rsid w:val="00D545BF"/>
    <w:rsid w:val="00D6373B"/>
    <w:rsid w:val="00D93FA7"/>
    <w:rsid w:val="00D971F8"/>
    <w:rsid w:val="00DB28D4"/>
    <w:rsid w:val="00DB34FF"/>
    <w:rsid w:val="00DB779A"/>
    <w:rsid w:val="00DD39B0"/>
    <w:rsid w:val="00DE0272"/>
    <w:rsid w:val="00DE255F"/>
    <w:rsid w:val="00DE2630"/>
    <w:rsid w:val="00DF48AD"/>
    <w:rsid w:val="00E022BB"/>
    <w:rsid w:val="00E32200"/>
    <w:rsid w:val="00E32AFE"/>
    <w:rsid w:val="00E44A4C"/>
    <w:rsid w:val="00E551D5"/>
    <w:rsid w:val="00E56632"/>
    <w:rsid w:val="00E721B9"/>
    <w:rsid w:val="00E7616B"/>
    <w:rsid w:val="00E87229"/>
    <w:rsid w:val="00E91ABC"/>
    <w:rsid w:val="00EC0F97"/>
    <w:rsid w:val="00ED2A45"/>
    <w:rsid w:val="00ED3C82"/>
    <w:rsid w:val="00ED451D"/>
    <w:rsid w:val="00ED7A72"/>
    <w:rsid w:val="00EE03D2"/>
    <w:rsid w:val="00EE5E79"/>
    <w:rsid w:val="00F04722"/>
    <w:rsid w:val="00F170EA"/>
    <w:rsid w:val="00F32740"/>
    <w:rsid w:val="00F353BA"/>
    <w:rsid w:val="00F42D76"/>
    <w:rsid w:val="00F5052D"/>
    <w:rsid w:val="00F530DA"/>
    <w:rsid w:val="00F61231"/>
    <w:rsid w:val="00F67822"/>
    <w:rsid w:val="00F70662"/>
    <w:rsid w:val="00F93A0D"/>
    <w:rsid w:val="00FA1E2A"/>
    <w:rsid w:val="00FB1A13"/>
    <w:rsid w:val="00FC328F"/>
    <w:rsid w:val="00FC46B2"/>
    <w:rsid w:val="00FE23C6"/>
    <w:rsid w:val="00FE2A9F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0BA9A"/>
  <w15:chartTrackingRefBased/>
  <w15:docId w15:val="{D8ED7177-742B-4E72-814A-A5DCAA5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EC"/>
    <w:pPr>
      <w:spacing w:after="200"/>
    </w:pPr>
    <w:rPr>
      <w:rFonts w:ascii="Arial" w:eastAsia="Times New Roman" w:hAnsi="Arial" w:cs="Times New Roman"/>
      <w:sz w:val="20"/>
      <w:szCs w:val="18"/>
      <w:lang w:val="en-US"/>
    </w:rPr>
  </w:style>
  <w:style w:type="paragraph" w:styleId="Heading1">
    <w:name w:val="heading 1"/>
    <w:next w:val="Normal"/>
    <w:link w:val="Heading1Char"/>
    <w:uiPriority w:val="9"/>
    <w:qFormat/>
    <w:rsid w:val="00C23A54"/>
    <w:pPr>
      <w:tabs>
        <w:tab w:val="left" w:pos="737"/>
      </w:tabs>
      <w:spacing w:before="400" w:after="200" w:line="288" w:lineRule="auto"/>
      <w:outlineLvl w:val="0"/>
    </w:pPr>
    <w:rPr>
      <w:rFonts w:ascii="Arial" w:eastAsiaTheme="minorEastAsia" w:hAnsi="Arial" w:cs="Arial"/>
      <w:color w:val="000000" w:themeColor="text1"/>
      <w:sz w:val="36"/>
      <w:szCs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8A31FC"/>
    <w:pPr>
      <w:keepNext/>
      <w:keepLines/>
      <w:numPr>
        <w:ilvl w:val="1"/>
        <w:numId w:val="5"/>
      </w:numPr>
      <w:tabs>
        <w:tab w:val="left" w:pos="737"/>
      </w:tabs>
      <w:spacing w:before="360" w:after="60" w:line="264" w:lineRule="auto"/>
      <w:outlineLvl w:val="1"/>
    </w:pPr>
    <w:rPr>
      <w:rFonts w:ascii="Arial Bold" w:eastAsiaTheme="majorEastAsia" w:hAnsi="Arial Bold" w:cs="Arial"/>
      <w:b/>
      <w:color w:val="001E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A31FC"/>
    <w:pPr>
      <w:keepNext/>
      <w:keepLines/>
      <w:numPr>
        <w:ilvl w:val="2"/>
        <w:numId w:val="5"/>
      </w:numPr>
      <w:tabs>
        <w:tab w:val="left" w:pos="737"/>
      </w:tabs>
      <w:spacing w:before="360" w:after="60" w:line="264" w:lineRule="auto"/>
      <w:outlineLvl w:val="2"/>
    </w:pPr>
    <w:rPr>
      <w:rFonts w:ascii="Arial Bold" w:eastAsiaTheme="majorEastAsia" w:hAnsi="Arial Bold" w:cs="Times New Roman (Headings CS)"/>
      <w:b/>
      <w:color w:val="000000" w:themeColor="text1"/>
      <w:sz w:val="21"/>
      <w:szCs w:val="20"/>
    </w:rPr>
  </w:style>
  <w:style w:type="paragraph" w:styleId="Heading4">
    <w:name w:val="heading 4"/>
    <w:next w:val="Normal"/>
    <w:link w:val="Heading4Char"/>
    <w:uiPriority w:val="9"/>
    <w:unhideWhenUsed/>
    <w:qFormat/>
    <w:rsid w:val="00054A78"/>
    <w:pPr>
      <w:keepNext/>
      <w:keepLines/>
      <w:numPr>
        <w:ilvl w:val="3"/>
        <w:numId w:val="5"/>
      </w:numPr>
      <w:spacing w:before="120" w:after="60"/>
      <w:outlineLvl w:val="3"/>
    </w:pPr>
    <w:rPr>
      <w:rFonts w:ascii="Arial Bold" w:eastAsiaTheme="majorEastAsia" w:hAnsi="Arial Bold" w:cs="Times New Roman (Headings CS)"/>
      <w:b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07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15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07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0E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07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07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07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 Para"/>
    <w:qFormat/>
    <w:rsid w:val="00C23A54"/>
    <w:pPr>
      <w:spacing w:after="240"/>
    </w:pPr>
    <w:rPr>
      <w:rFonts w:cs="Times New Roman (Body CS)"/>
      <w:color w:val="000000" w:themeColor="text1"/>
      <w:sz w:val="30"/>
    </w:rPr>
  </w:style>
  <w:style w:type="character" w:styleId="FootnoteReference">
    <w:name w:val="footnote reference"/>
    <w:basedOn w:val="DefaultParagraphFont"/>
    <w:uiPriority w:val="99"/>
    <w:semiHidden/>
    <w:unhideWhenUsed/>
    <w:rsid w:val="00146089"/>
    <w:rPr>
      <w:color w:val="666666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3A54"/>
    <w:rPr>
      <w:rFonts w:ascii="Arial" w:eastAsiaTheme="minorEastAsia" w:hAnsi="Arial" w:cs="Arial"/>
      <w:color w:val="000000" w:themeColor="text1"/>
      <w:sz w:val="3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A31FC"/>
    <w:rPr>
      <w:rFonts w:ascii="Arial Bold" w:eastAsiaTheme="majorEastAsia" w:hAnsi="Arial Bold" w:cs="Arial"/>
      <w:b/>
      <w:color w:val="001EF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1FC"/>
    <w:rPr>
      <w:rFonts w:ascii="Arial Bold" w:eastAsiaTheme="majorEastAsia" w:hAnsi="Arial Bold" w:cs="Times New Roman (Headings CS)"/>
      <w:b/>
      <w:color w:val="000000" w:themeColor="text1"/>
      <w:sz w:val="2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54A78"/>
    <w:rPr>
      <w:rFonts w:ascii="Arial Bold" w:eastAsiaTheme="majorEastAsia" w:hAnsi="Arial Bold" w:cs="Times New Roman (Headings CS)"/>
      <w:b/>
      <w:iCs/>
      <w:color w:val="000000" w:themeColor="text1"/>
      <w:sz w:val="19"/>
    </w:rPr>
  </w:style>
  <w:style w:type="paragraph" w:styleId="Title">
    <w:name w:val="Title"/>
    <w:next w:val="Normal"/>
    <w:link w:val="TitleChar"/>
    <w:uiPriority w:val="10"/>
    <w:qFormat/>
    <w:rsid w:val="00254A83"/>
    <w:pPr>
      <w:spacing w:after="120"/>
      <w:contextualSpacing/>
    </w:pPr>
    <w:rPr>
      <w:rFonts w:ascii="Arial" w:eastAsiaTheme="majorEastAsia" w:hAnsi="Arial" w:cs="Arial"/>
      <w:color w:val="001DFF" w:themeColor="text2"/>
      <w:kern w:val="28"/>
      <w:sz w:val="7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4A83"/>
    <w:rPr>
      <w:rFonts w:ascii="Arial" w:eastAsiaTheme="majorEastAsia" w:hAnsi="Arial" w:cs="Arial"/>
      <w:color w:val="001DFF" w:themeColor="text2"/>
      <w:kern w:val="28"/>
      <w:sz w:val="76"/>
      <w:szCs w:val="72"/>
    </w:rPr>
  </w:style>
  <w:style w:type="paragraph" w:styleId="Subtitle">
    <w:name w:val="Subtitle"/>
    <w:next w:val="Normal"/>
    <w:link w:val="SubtitleChar"/>
    <w:uiPriority w:val="11"/>
    <w:rsid w:val="001166F1"/>
    <w:pPr>
      <w:spacing w:before="240"/>
    </w:pPr>
    <w:rPr>
      <w:rFonts w:cs="Times New Roman (Body CS)"/>
      <w:color w:val="000000" w:themeColor="text1"/>
      <w:sz w:val="40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166F1"/>
    <w:rPr>
      <w:rFonts w:cs="Times New Roman (Body CS)"/>
      <w:color w:val="000000" w:themeColor="text1"/>
      <w:sz w:val="40"/>
      <w:szCs w:val="36"/>
    </w:rPr>
  </w:style>
  <w:style w:type="paragraph" w:styleId="Header">
    <w:name w:val="header"/>
    <w:link w:val="HeaderChar"/>
    <w:uiPriority w:val="99"/>
    <w:unhideWhenUsed/>
    <w:rsid w:val="000875F6"/>
    <w:pPr>
      <w:tabs>
        <w:tab w:val="center" w:pos="4513"/>
        <w:tab w:val="right" w:pos="9026"/>
      </w:tabs>
    </w:pPr>
    <w:rPr>
      <w:rFonts w:cs="Times New Roman (Body CS)"/>
      <w:bCs/>
      <w:noProof/>
      <w:color w:val="000000" w:themeColor="text1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0875F6"/>
    <w:rPr>
      <w:rFonts w:cs="Times New Roman (Body CS)"/>
      <w:bCs/>
      <w:noProof/>
      <w:color w:val="000000" w:themeColor="text1"/>
      <w:sz w:val="17"/>
    </w:rPr>
  </w:style>
  <w:style w:type="paragraph" w:styleId="Footer">
    <w:name w:val="footer"/>
    <w:link w:val="FooterChar"/>
    <w:uiPriority w:val="99"/>
    <w:unhideWhenUsed/>
    <w:rsid w:val="00F170EA"/>
    <w:pPr>
      <w:tabs>
        <w:tab w:val="center" w:pos="4513"/>
        <w:tab w:val="right" w:pos="9026"/>
      </w:tabs>
      <w:jc w:val="right"/>
    </w:pPr>
    <w:rPr>
      <w:rFonts w:cs="Times New Roman (Body CS)"/>
      <w:color w:val="000000" w:themeColor="text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F170EA"/>
    <w:rPr>
      <w:rFonts w:cs="Times New Roman (Body CS)"/>
      <w:color w:val="000000" w:themeColor="text1"/>
      <w:sz w:val="17"/>
    </w:rPr>
  </w:style>
  <w:style w:type="character" w:styleId="PageNumber">
    <w:name w:val="page number"/>
    <w:basedOn w:val="DefaultParagraphFont"/>
    <w:uiPriority w:val="99"/>
    <w:semiHidden/>
    <w:unhideWhenUsed/>
    <w:rsid w:val="0006200E"/>
    <w:rPr>
      <w:rFonts w:ascii="Arial" w:hAnsi="Arial"/>
      <w:b w:val="0"/>
      <w:i w:val="0"/>
      <w:color w:val="001DFF" w:themeColor="text2"/>
      <w:sz w:val="17"/>
    </w:rPr>
  </w:style>
  <w:style w:type="paragraph" w:styleId="ListNumber">
    <w:name w:val="List Number"/>
    <w:basedOn w:val="Normal"/>
    <w:uiPriority w:val="99"/>
    <w:unhideWhenUsed/>
    <w:rsid w:val="00463073"/>
    <w:pPr>
      <w:numPr>
        <w:numId w:val="4"/>
      </w:numPr>
      <w:spacing w:after="120"/>
      <w:ind w:left="284" w:hanging="284"/>
    </w:pPr>
  </w:style>
  <w:style w:type="paragraph" w:styleId="ListBullet">
    <w:name w:val="List Bullet"/>
    <w:basedOn w:val="Normal"/>
    <w:uiPriority w:val="99"/>
    <w:unhideWhenUsed/>
    <w:rsid w:val="00463073"/>
    <w:pPr>
      <w:numPr>
        <w:numId w:val="3"/>
      </w:numPr>
      <w:spacing w:after="120"/>
    </w:pPr>
  </w:style>
  <w:style w:type="paragraph" w:styleId="ListBullet2">
    <w:name w:val="List Bullet 2"/>
    <w:basedOn w:val="Normal"/>
    <w:uiPriority w:val="99"/>
    <w:unhideWhenUsed/>
    <w:rsid w:val="00463073"/>
    <w:pPr>
      <w:numPr>
        <w:numId w:val="2"/>
      </w:numPr>
      <w:spacing w:after="120"/>
      <w:ind w:left="568" w:hanging="284"/>
    </w:pPr>
  </w:style>
  <w:style w:type="paragraph" w:styleId="ListNumber2">
    <w:name w:val="List Number 2"/>
    <w:basedOn w:val="Normal"/>
    <w:uiPriority w:val="99"/>
    <w:unhideWhenUsed/>
    <w:rsid w:val="00463073"/>
    <w:pPr>
      <w:numPr>
        <w:numId w:val="1"/>
      </w:numPr>
      <w:spacing w:after="120"/>
      <w:ind w:left="568"/>
    </w:pPr>
  </w:style>
  <w:style w:type="paragraph" w:styleId="TableofFigures">
    <w:name w:val="table of figures"/>
    <w:next w:val="Normal"/>
    <w:uiPriority w:val="99"/>
    <w:unhideWhenUsed/>
    <w:rsid w:val="00155373"/>
    <w:rPr>
      <w:rFonts w:cs="Times New Roman (Body CS)"/>
      <w:color w:val="000000" w:themeColor="text1"/>
      <w:sz w:val="16"/>
    </w:rPr>
  </w:style>
  <w:style w:type="table" w:customStyle="1" w:styleId="LSEGFXtablestyle">
    <w:name w:val="LSEG FX table style"/>
    <w:basedOn w:val="TableNormal"/>
    <w:uiPriority w:val="99"/>
    <w:rsid w:val="008E223D"/>
    <w:rPr>
      <w:color w:val="666666"/>
      <w:sz w:val="18"/>
    </w:rPr>
    <w:tblPr>
      <w:tblStyleRowBandSize w:val="1"/>
      <w:tblBorders>
        <w:bottom w:val="single" w:sz="4" w:space="0" w:color="666666"/>
        <w:insideH w:val="single" w:sz="4" w:space="0" w:color="666666"/>
        <w:insideV w:val="single" w:sz="4" w:space="0" w:color="666666"/>
      </w:tblBorders>
    </w:tblPr>
    <w:tcPr>
      <w:shd w:val="clear" w:color="auto" w:fill="auto"/>
      <w:tcMar>
        <w:top w:w="85" w:type="dxa"/>
        <w:bottom w:w="85" w:type="dxa"/>
      </w:tcMar>
    </w:tcPr>
    <w:tblStylePr w:type="firstRow">
      <w:rPr>
        <w:rFonts w:asciiTheme="minorHAnsi" w:hAnsiTheme="minorHAnsi"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001DFF" w:themeFill="text2"/>
      </w:tcPr>
    </w:tblStylePr>
    <w:tblStylePr w:type="band1Horz">
      <w:tblPr/>
      <w:tcPr>
        <w:tcBorders>
          <w:insideV w:val="nil"/>
        </w:tcBorders>
        <w:shd w:val="clear" w:color="auto" w:fill="auto"/>
      </w:tcPr>
    </w:tblStylePr>
    <w:tblStylePr w:type="band2Horz">
      <w:tblPr/>
      <w:tcPr>
        <w:tcBorders>
          <w:insideV w:val="nil"/>
        </w:tcBorders>
        <w:shd w:val="clear" w:color="auto" w:fill="auto"/>
      </w:tcPr>
    </w:tblStylePr>
  </w:style>
  <w:style w:type="paragraph" w:customStyle="1" w:styleId="LegalDisclaimertext">
    <w:name w:val="Legal/Disclaimer text"/>
    <w:qFormat/>
    <w:rsid w:val="00737DFB"/>
    <w:pPr>
      <w:spacing w:after="40"/>
    </w:pPr>
    <w:rPr>
      <w:rFonts w:cs="Times New Roman (Body CS)"/>
      <w:color w:val="000000" w:themeColor="text1"/>
      <w:sz w:val="13"/>
    </w:rPr>
  </w:style>
  <w:style w:type="table" w:styleId="TableGrid">
    <w:name w:val="Table Grid"/>
    <w:basedOn w:val="TableNormal"/>
    <w:uiPriority w:val="59"/>
    <w:rsid w:val="001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aliases w:val="Note text"/>
    <w:basedOn w:val="Normal"/>
    <w:qFormat/>
    <w:rsid w:val="009E6AA3"/>
    <w:pPr>
      <w:pBdr>
        <w:top w:val="single" w:sz="2" w:space="10" w:color="001DFF" w:themeColor="text2"/>
        <w:left w:val="single" w:sz="2" w:space="10" w:color="001DFF" w:themeColor="text2"/>
        <w:bottom w:val="single" w:sz="2" w:space="10" w:color="001DFF" w:themeColor="text2"/>
        <w:right w:val="single" w:sz="2" w:space="10" w:color="001DFF" w:themeColor="text2"/>
      </w:pBdr>
      <w:shd w:val="clear" w:color="auto" w:fill="FFFFFF" w:themeFill="background1"/>
      <w:spacing w:after="120"/>
      <w:ind w:left="227" w:right="227"/>
    </w:pPr>
    <w:rPr>
      <w:rFonts w:eastAsiaTheme="minorEastAsia"/>
      <w:iCs/>
      <w:sz w:val="19"/>
      <w:szCs w:val="19"/>
      <w:lang w:eastAsia="en-GB"/>
    </w:rPr>
  </w:style>
  <w:style w:type="character" w:customStyle="1" w:styleId="Blocktextheading">
    <w:name w:val="Block text heading"/>
    <w:basedOn w:val="DefaultParagraphFont"/>
    <w:uiPriority w:val="1"/>
    <w:rsid w:val="00155373"/>
    <w:rPr>
      <w:rFonts w:ascii="Arial Bold" w:hAnsi="Arial Bold"/>
      <w:b/>
      <w:color w:val="001DFF" w:themeColor="text2"/>
      <w:sz w:val="19"/>
      <w:szCs w:val="19"/>
    </w:rPr>
  </w:style>
  <w:style w:type="paragraph" w:styleId="TOC1">
    <w:name w:val="toc 1"/>
    <w:basedOn w:val="Normal"/>
    <w:next w:val="Normal"/>
    <w:autoRedefine/>
    <w:uiPriority w:val="39"/>
    <w:unhideWhenUsed/>
    <w:rsid w:val="00BC1499"/>
    <w:pPr>
      <w:tabs>
        <w:tab w:val="right" w:leader="dot" w:pos="951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67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67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D6748"/>
    <w:rPr>
      <w:color w:val="001D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87F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87F"/>
    <w:rPr>
      <w:rFonts w:cs="Times New Roman (Body CS)"/>
      <w:color w:val="000000" w:themeColor="text1"/>
      <w:sz w:val="16"/>
      <w:szCs w:val="20"/>
    </w:rPr>
  </w:style>
  <w:style w:type="paragraph" w:customStyle="1" w:styleId="NumberedHeading1">
    <w:name w:val="Numbered Heading 1"/>
    <w:basedOn w:val="Heading1"/>
    <w:qFormat/>
    <w:rsid w:val="00604272"/>
    <w:pPr>
      <w:tabs>
        <w:tab w:val="clear" w:pos="737"/>
      </w:tabs>
    </w:pPr>
  </w:style>
  <w:style w:type="paragraph" w:styleId="Caption">
    <w:name w:val="caption"/>
    <w:next w:val="Normal"/>
    <w:uiPriority w:val="35"/>
    <w:unhideWhenUsed/>
    <w:qFormat/>
    <w:rsid w:val="000875F6"/>
    <w:pPr>
      <w:spacing w:before="120" w:after="200"/>
    </w:pPr>
    <w:rPr>
      <w:rFonts w:cs="Times New Roman (Body CS)"/>
      <w:iCs/>
      <w:color w:val="000000" w:themeColor="text1"/>
      <w:sz w:val="15"/>
      <w:szCs w:val="18"/>
    </w:rPr>
  </w:style>
  <w:style w:type="paragraph" w:customStyle="1" w:styleId="NumberedHeading2">
    <w:name w:val="Numbered Heading 2"/>
    <w:basedOn w:val="Heading2"/>
    <w:qFormat/>
    <w:rsid w:val="00826406"/>
    <w:pPr>
      <w:numPr>
        <w:ilvl w:val="0"/>
        <w:numId w:val="0"/>
      </w:numPr>
      <w:tabs>
        <w:tab w:val="clear" w:pos="737"/>
      </w:tabs>
    </w:pPr>
    <w:rPr>
      <w:rFonts w:asciiTheme="minorHAnsi" w:hAnsiTheme="minorHAnsi" w:cstheme="minorHAnsi"/>
      <w:b w:val="0"/>
      <w:bCs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073"/>
    <w:rPr>
      <w:rFonts w:asciiTheme="majorHAnsi" w:eastAsiaTheme="majorEastAsia" w:hAnsiTheme="majorHAnsi" w:cstheme="majorBidi"/>
      <w:color w:val="0015BF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073"/>
    <w:rPr>
      <w:rFonts w:asciiTheme="majorHAnsi" w:eastAsiaTheme="majorEastAsia" w:hAnsiTheme="majorHAnsi" w:cstheme="majorBidi"/>
      <w:color w:val="000E7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073"/>
    <w:rPr>
      <w:rFonts w:asciiTheme="majorHAnsi" w:eastAsiaTheme="majorEastAsia" w:hAnsiTheme="majorHAnsi" w:cstheme="majorBidi"/>
      <w:i/>
      <w:iCs/>
      <w:color w:val="000E7F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3">
    <w:name w:val="Numbered Heading 3"/>
    <w:basedOn w:val="Heading3"/>
    <w:qFormat/>
    <w:rsid w:val="00604272"/>
    <w:pPr>
      <w:numPr>
        <w:ilvl w:val="0"/>
        <w:numId w:val="0"/>
      </w:numPr>
      <w:tabs>
        <w:tab w:val="clear" w:pos="737"/>
      </w:tabs>
    </w:pPr>
  </w:style>
  <w:style w:type="numbering" w:customStyle="1" w:styleId="LSEGFXnumberedheadings">
    <w:name w:val="LSEG FX numbered headings"/>
    <w:uiPriority w:val="99"/>
    <w:rsid w:val="00604272"/>
    <w:pPr>
      <w:numPr>
        <w:numId w:val="6"/>
      </w:numPr>
    </w:pPr>
  </w:style>
  <w:style w:type="paragraph" w:customStyle="1" w:styleId="Normalindented">
    <w:name w:val="Normal (indented)"/>
    <w:basedOn w:val="Normal"/>
    <w:qFormat/>
    <w:rsid w:val="00604272"/>
    <w:pPr>
      <w:ind w:left="737"/>
    </w:pPr>
  </w:style>
  <w:style w:type="paragraph" w:styleId="NoteHeading">
    <w:name w:val="Note Heading"/>
    <w:basedOn w:val="BlockText"/>
    <w:next w:val="MacroText"/>
    <w:link w:val="NoteHeadingChar"/>
    <w:unhideWhenUsed/>
    <w:qFormat/>
    <w:rsid w:val="009E6AA3"/>
    <w:pPr>
      <w:keepNext/>
    </w:pPr>
    <w:rPr>
      <w:rFonts w:ascii="Arial Bold" w:hAnsi="Arial Bold"/>
      <w:b/>
      <w:bCs/>
      <w:color w:val="0000FF"/>
    </w:rPr>
  </w:style>
  <w:style w:type="character" w:customStyle="1" w:styleId="NoteHeadingChar">
    <w:name w:val="Note Heading Char"/>
    <w:basedOn w:val="DefaultParagraphFont"/>
    <w:link w:val="NoteHeading"/>
    <w:rsid w:val="009E6AA3"/>
    <w:rPr>
      <w:rFonts w:ascii="Arial Bold" w:eastAsiaTheme="minorEastAsia" w:hAnsi="Arial Bold" w:cs="Times New Roman (Body CS)"/>
      <w:b/>
      <w:bCs/>
      <w:iCs/>
      <w:color w:val="0000FF"/>
      <w:sz w:val="19"/>
      <w:szCs w:val="19"/>
      <w:shd w:val="clear" w:color="auto" w:fill="FFFFFF" w:themeFill="background1"/>
      <w:lang w:eastAsia="en-GB"/>
    </w:rPr>
  </w:style>
  <w:style w:type="paragraph" w:styleId="MacroText">
    <w:name w:val="macro"/>
    <w:link w:val="MacroTextChar"/>
    <w:uiPriority w:val="99"/>
    <w:semiHidden/>
    <w:unhideWhenUsed/>
    <w:rsid w:val="009E6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Times New Roman (Body CS)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6AA3"/>
    <w:rPr>
      <w:rFonts w:ascii="Consolas" w:hAnsi="Consolas" w:cs="Times New Roman (Body CS)"/>
      <w:color w:val="000000" w:themeColor="text1"/>
      <w:sz w:val="20"/>
      <w:szCs w:val="20"/>
    </w:rPr>
  </w:style>
  <w:style w:type="paragraph" w:customStyle="1" w:styleId="TableText">
    <w:name w:val="Table Text"/>
    <w:basedOn w:val="Normal"/>
    <w:qFormat/>
    <w:rsid w:val="00B60197"/>
    <w:pPr>
      <w:spacing w:after="0"/>
    </w:pPr>
    <w:rPr>
      <w:rFonts w:cs="Arial"/>
      <w:sz w:val="18"/>
    </w:rPr>
  </w:style>
  <w:style w:type="paragraph" w:customStyle="1" w:styleId="TableTextHeading">
    <w:name w:val="Table Text Heading"/>
    <w:basedOn w:val="TableofFigures"/>
    <w:qFormat/>
    <w:rsid w:val="009E6AA3"/>
    <w:rPr>
      <w:rFonts w:ascii="Arial" w:eastAsia="Arial" w:hAnsi="Arial" w:cs="Arial"/>
      <w:color w:val="FFFFFF"/>
      <w:sz w:val="18"/>
    </w:rPr>
  </w:style>
  <w:style w:type="paragraph" w:customStyle="1" w:styleId="Bullet">
    <w:name w:val="Bullet"/>
    <w:basedOn w:val="Normal"/>
    <w:link w:val="BulletChar"/>
    <w:rsid w:val="008A31FC"/>
    <w:pPr>
      <w:numPr>
        <w:numId w:val="8"/>
      </w:numPr>
      <w:ind w:left="426" w:hanging="426"/>
    </w:pPr>
  </w:style>
  <w:style w:type="character" w:customStyle="1" w:styleId="BulletChar">
    <w:name w:val="Bullet Char"/>
    <w:link w:val="Bullet"/>
    <w:rsid w:val="008A31FC"/>
    <w:rPr>
      <w:rFonts w:ascii="Arial" w:hAnsi="Arial" w:cs="Times New Roman (Body CS)"/>
      <w:color w:val="000000" w:themeColor="text1"/>
      <w:sz w:val="20"/>
    </w:rPr>
  </w:style>
  <w:style w:type="paragraph" w:customStyle="1" w:styleId="Bullet2">
    <w:name w:val="Bullet 2"/>
    <w:basedOn w:val="Bullet"/>
    <w:qFormat/>
    <w:rsid w:val="004A2DEC"/>
    <w:pPr>
      <w:numPr>
        <w:numId w:val="10"/>
      </w:numPr>
      <w:ind w:left="851" w:hanging="425"/>
    </w:pPr>
  </w:style>
  <w:style w:type="paragraph" w:customStyle="1" w:styleId="Number">
    <w:name w:val="Number"/>
    <w:qFormat/>
    <w:rsid w:val="008A31FC"/>
    <w:pPr>
      <w:numPr>
        <w:numId w:val="9"/>
      </w:numPr>
      <w:spacing w:after="120"/>
      <w:ind w:left="426" w:hanging="426"/>
    </w:pPr>
    <w:rPr>
      <w:rFonts w:ascii="Arial" w:eastAsia="Times New Roman" w:hAnsi="Arial" w:cs="Times New Roman (Body CS)"/>
      <w:color w:val="000000" w:themeColor="text1"/>
      <w:sz w:val="20"/>
    </w:rPr>
  </w:style>
  <w:style w:type="paragraph" w:styleId="NormalIndent">
    <w:name w:val="Normal Indent"/>
    <w:basedOn w:val="Normal"/>
    <w:uiPriority w:val="99"/>
    <w:unhideWhenUsed/>
    <w:rsid w:val="008A31FC"/>
    <w:pPr>
      <w:ind w:left="426"/>
    </w:pPr>
  </w:style>
  <w:style w:type="paragraph" w:customStyle="1" w:styleId="Chapterheading">
    <w:name w:val="Chapter heading"/>
    <w:qFormat/>
    <w:rsid w:val="002214DA"/>
    <w:pPr>
      <w:spacing w:after="400"/>
    </w:pPr>
    <w:rPr>
      <w:rFonts w:cs="Times New Roman (Body CS)"/>
      <w:bCs/>
      <w:color w:val="001DFF" w:themeColor="text2"/>
      <w:sz w:val="56"/>
      <w:szCs w:val="80"/>
    </w:rPr>
  </w:style>
  <w:style w:type="paragraph" w:styleId="ListParagraph">
    <w:name w:val="List Paragraph"/>
    <w:basedOn w:val="Normal"/>
    <w:uiPriority w:val="34"/>
    <w:qFormat/>
    <w:rsid w:val="00ED3C82"/>
    <w:pPr>
      <w:ind w:left="720"/>
      <w:contextualSpacing/>
    </w:pPr>
  </w:style>
  <w:style w:type="paragraph" w:customStyle="1" w:styleId="StandardL2">
    <w:name w:val="Standard_L2"/>
    <w:basedOn w:val="Normal"/>
    <w:link w:val="StandardL2Char"/>
    <w:uiPriority w:val="49"/>
    <w:qFormat/>
    <w:rsid w:val="00ED3C82"/>
    <w:pPr>
      <w:tabs>
        <w:tab w:val="num" w:pos="567"/>
      </w:tabs>
      <w:spacing w:after="240" w:line="360" w:lineRule="auto"/>
      <w:ind w:left="567" w:hanging="452"/>
      <w:jc w:val="both"/>
      <w:outlineLvl w:val="1"/>
    </w:pPr>
    <w:rPr>
      <w:rFonts w:cs="Arial"/>
      <w:szCs w:val="20"/>
      <w:lang w:val="en-GB" w:eastAsia="en-CA"/>
    </w:rPr>
  </w:style>
  <w:style w:type="character" w:customStyle="1" w:styleId="StandardL2Char">
    <w:name w:val="Standard_L2 Char"/>
    <w:link w:val="StandardL2"/>
    <w:uiPriority w:val="49"/>
    <w:locked/>
    <w:rsid w:val="00ED3C82"/>
    <w:rPr>
      <w:rFonts w:ascii="Arial" w:eastAsia="Times New Roman" w:hAnsi="Arial" w:cs="Arial"/>
      <w:sz w:val="20"/>
      <w:szCs w:val="20"/>
      <w:lang w:eastAsia="en-CA"/>
    </w:rPr>
  </w:style>
  <w:style w:type="paragraph" w:customStyle="1" w:styleId="Subheading1">
    <w:name w:val="Subheading1"/>
    <w:basedOn w:val="ListParagraph"/>
    <w:qFormat/>
    <w:rsid w:val="00AC6E78"/>
    <w:pPr>
      <w:keepNext/>
      <w:numPr>
        <w:numId w:val="27"/>
      </w:numPr>
      <w:tabs>
        <w:tab w:val="clear" w:pos="737"/>
        <w:tab w:val="num" w:pos="567"/>
      </w:tabs>
      <w:spacing w:before="360"/>
      <w:ind w:left="567" w:hanging="567"/>
    </w:pPr>
    <w:rPr>
      <w:rFonts w:eastAsia="Calibri"/>
      <w:b/>
      <w:bCs/>
      <w:sz w:val="28"/>
      <w:szCs w:val="28"/>
    </w:rPr>
  </w:style>
  <w:style w:type="paragraph" w:customStyle="1" w:styleId="subheading2">
    <w:name w:val="subheading2"/>
    <w:basedOn w:val="ListParagraph"/>
    <w:qFormat/>
    <w:rsid w:val="00AC6E78"/>
    <w:pPr>
      <w:numPr>
        <w:ilvl w:val="1"/>
        <w:numId w:val="27"/>
      </w:numPr>
      <w:tabs>
        <w:tab w:val="clear" w:pos="737"/>
        <w:tab w:val="num" w:pos="567"/>
      </w:tabs>
      <w:ind w:left="567" w:hanging="567"/>
      <w:contextualSpacing w:val="0"/>
    </w:pPr>
    <w:rPr>
      <w:color w:val="000000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letter">
    <w:name w:val="letter"/>
    <w:basedOn w:val="Normal"/>
    <w:rsid w:val="00634397"/>
    <w:pPr>
      <w:numPr>
        <w:numId w:val="28"/>
      </w:numPr>
    </w:pPr>
  </w:style>
  <w:style w:type="paragraph" w:customStyle="1" w:styleId="subheading3">
    <w:name w:val="subheading3"/>
    <w:basedOn w:val="letter"/>
    <w:qFormat/>
    <w:rsid w:val="00AC6E78"/>
    <w:pPr>
      <w:ind w:left="993" w:hanging="426"/>
    </w:pPr>
    <w:rPr>
      <w:color w:val="000000"/>
      <w14:textFill>
        <w14:solidFill>
          <w14:srgbClr w14:val="000000">
            <w14:lumMod w14:val="75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7E7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FA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FA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F6F7C"/>
    <w:rPr>
      <w:color w:val="808080"/>
    </w:rPr>
  </w:style>
  <w:style w:type="paragraph" w:styleId="Revision">
    <w:name w:val="Revision"/>
    <w:hidden/>
    <w:uiPriority w:val="99"/>
    <w:semiHidden/>
    <w:rsid w:val="00D277AA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ui-provider">
    <w:name w:val="ui-provider"/>
    <w:basedOn w:val="DefaultParagraphFont"/>
    <w:rsid w:val="003D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R\OneDrive%20-%20London%20Stock%20Exchange%20Group\Desktop\LSEG%20FX%20Short_Template%20Jul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F283-B744-4133-898D-8B9020087E83}"/>
      </w:docPartPr>
      <w:docPartBody>
        <w:p w:rsidR="00A44B82" w:rsidRDefault="00B60A93">
          <w:r w:rsidRPr="00C55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AD938F7C0B4EDD8573B236282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ED9D-86AA-4CDF-A448-6BB334FF674B}"/>
      </w:docPartPr>
      <w:docPartBody>
        <w:p w:rsidR="00370916" w:rsidRDefault="00A44B82" w:rsidP="00A44B82">
          <w:pPr>
            <w:pStyle w:val="9FAD938F7C0B4EDD8573B2362822A282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0E7BA376D4D3BAA90C1676E4D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5523-5DF3-47C7-BFBC-09FB2912F5B2}"/>
      </w:docPartPr>
      <w:docPartBody>
        <w:p w:rsidR="00370916" w:rsidRDefault="00A44B82" w:rsidP="00A44B82">
          <w:pPr>
            <w:pStyle w:val="B500E7BA376D4D3BAA90C1676E4DF83C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82B0CED3E48E7923E8432376B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2144-5907-4ABF-A692-9F79E2595B78}"/>
      </w:docPartPr>
      <w:docPartBody>
        <w:p w:rsidR="00370916" w:rsidRDefault="00A44B82" w:rsidP="00A44B82">
          <w:pPr>
            <w:pStyle w:val="16C82B0CED3E48E7923E8432376B5D17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675D27BCC466591AD864AC732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E8AE-1539-4F63-B24A-73DC85C08C22}"/>
      </w:docPartPr>
      <w:docPartBody>
        <w:p w:rsidR="00370916" w:rsidRDefault="00A44B82" w:rsidP="00A44B82">
          <w:pPr>
            <w:pStyle w:val="E39675D27BCC466591AD864AC73260D7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6718B44A040E987E571ED5783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CCF2-0AC8-457A-8869-D0EB0D0EA079}"/>
      </w:docPartPr>
      <w:docPartBody>
        <w:p w:rsidR="00370916" w:rsidRDefault="00A44B82" w:rsidP="00A44B82">
          <w:pPr>
            <w:pStyle w:val="E036718B44A040E987E571ED5783CF18"/>
          </w:pPr>
          <w:r w:rsidRPr="00131DC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D2F07D1AAFC45F0AF084010F3C1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DBDD-1F53-4A7B-A1F4-42705ADEBFFB}"/>
      </w:docPartPr>
      <w:docPartBody>
        <w:p w:rsidR="00370916" w:rsidRDefault="00A44B82" w:rsidP="00A44B82">
          <w:pPr>
            <w:pStyle w:val="CD2F07D1AAFC45F0AF084010F3C19738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85CB4F2CC497FB8727577C284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6059-6A11-429C-9C7F-16240B502C41}"/>
      </w:docPartPr>
      <w:docPartBody>
        <w:p w:rsidR="00370916" w:rsidRDefault="00A44B82" w:rsidP="00A44B82">
          <w:pPr>
            <w:pStyle w:val="81085CB4F2CC497FB8727577C284F545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1F67E10054FF4BF3103306183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766B-4ACA-4024-B820-707C8B0C9007}"/>
      </w:docPartPr>
      <w:docPartBody>
        <w:p w:rsidR="00370916" w:rsidRDefault="00A44B82" w:rsidP="00A44B82">
          <w:pPr>
            <w:pStyle w:val="8B91F67E10054FF4BF3103306183E856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1415912194CC6AC10FE5E0E2A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A089-AD9A-4C3F-AD20-724B64B835D4}"/>
      </w:docPartPr>
      <w:docPartBody>
        <w:p w:rsidR="00370916" w:rsidRDefault="00A44B82" w:rsidP="00A44B82">
          <w:pPr>
            <w:pStyle w:val="9D71415912194CC6AC10FE5E0E2ADFA3"/>
          </w:pPr>
          <w:r w:rsidRPr="00724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F1A7873CA40A4938C750BE594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F14C-2240-42D7-B2E0-BC520BBA15D4}"/>
      </w:docPartPr>
      <w:docPartBody>
        <w:p w:rsidR="00370916" w:rsidRDefault="00A44B82" w:rsidP="00A44B82">
          <w:pPr>
            <w:pStyle w:val="2C0F1A7873CA40A4938C750BE5940785"/>
          </w:pPr>
          <w:r w:rsidRPr="00C558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8119AEFFFE640F7BB67220537AA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0D26-4FE5-45EE-BD6F-BBD8CAFFF874}"/>
      </w:docPartPr>
      <w:docPartBody>
        <w:p w:rsidR="00370916" w:rsidRDefault="00A44B82" w:rsidP="00A44B82">
          <w:pPr>
            <w:pStyle w:val="68119AEFFFE640F7BB67220537AA18A9"/>
          </w:pPr>
          <w:r w:rsidRPr="00C5581D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4"/>
    <w:rsid w:val="002F7EA9"/>
    <w:rsid w:val="00370916"/>
    <w:rsid w:val="003F5F30"/>
    <w:rsid w:val="00A44B82"/>
    <w:rsid w:val="00B60A93"/>
    <w:rsid w:val="00C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82"/>
    <w:rPr>
      <w:color w:val="808080"/>
    </w:rPr>
  </w:style>
  <w:style w:type="paragraph" w:customStyle="1" w:styleId="9FAD938F7C0B4EDD8573B2362822A282">
    <w:name w:val="9FAD938F7C0B4EDD8573B2362822A282"/>
    <w:rsid w:val="00A44B82"/>
    <w:pPr>
      <w:spacing w:after="200" w:line="240" w:lineRule="auto"/>
    </w:pPr>
    <w:rPr>
      <w:rFonts w:ascii="Arial" w:eastAsia="Times New Roman" w:hAnsi="Arial" w:cs="Times New Roman"/>
      <w:sz w:val="20"/>
      <w:szCs w:val="18"/>
      <w:lang w:val="en-US" w:eastAsia="en-US"/>
    </w:rPr>
  </w:style>
  <w:style w:type="paragraph" w:customStyle="1" w:styleId="B500E7BA376D4D3BAA90C1676E4DF83C">
    <w:name w:val="B500E7BA376D4D3BAA90C1676E4DF83C"/>
    <w:rsid w:val="00A44B82"/>
    <w:pPr>
      <w:spacing w:after="200" w:line="240" w:lineRule="auto"/>
    </w:pPr>
    <w:rPr>
      <w:rFonts w:ascii="Arial" w:eastAsia="Times New Roman" w:hAnsi="Arial" w:cs="Times New Roman"/>
      <w:sz w:val="20"/>
      <w:szCs w:val="18"/>
      <w:lang w:val="en-US" w:eastAsia="en-US"/>
    </w:rPr>
  </w:style>
  <w:style w:type="paragraph" w:customStyle="1" w:styleId="16C82B0CED3E48E7923E8432376B5D17">
    <w:name w:val="16C82B0CED3E48E7923E8432376B5D17"/>
    <w:rsid w:val="00A44B82"/>
    <w:pPr>
      <w:spacing w:after="200" w:line="240" w:lineRule="auto"/>
    </w:pPr>
    <w:rPr>
      <w:rFonts w:ascii="Arial" w:eastAsia="Times New Roman" w:hAnsi="Arial" w:cs="Times New Roman"/>
      <w:sz w:val="20"/>
      <w:szCs w:val="18"/>
      <w:lang w:val="en-US" w:eastAsia="en-US"/>
    </w:rPr>
  </w:style>
  <w:style w:type="paragraph" w:customStyle="1" w:styleId="E39675D27BCC466591AD864AC73260D7">
    <w:name w:val="E39675D27BCC466591AD864AC73260D7"/>
    <w:rsid w:val="00A44B82"/>
    <w:pPr>
      <w:spacing w:after="200" w:line="240" w:lineRule="auto"/>
    </w:pPr>
    <w:rPr>
      <w:rFonts w:ascii="Arial" w:eastAsia="Times New Roman" w:hAnsi="Arial" w:cs="Times New Roman"/>
      <w:sz w:val="20"/>
      <w:szCs w:val="18"/>
      <w:lang w:val="en-US" w:eastAsia="en-US"/>
    </w:rPr>
  </w:style>
  <w:style w:type="paragraph" w:customStyle="1" w:styleId="E036718B44A040E987E571ED5783CF18">
    <w:name w:val="E036718B44A040E987E571ED5783CF18"/>
    <w:rsid w:val="00A44B82"/>
    <w:pPr>
      <w:spacing w:after="0" w:line="240" w:lineRule="auto"/>
    </w:pPr>
    <w:rPr>
      <w:rFonts w:ascii="Arial" w:eastAsia="Arial" w:hAnsi="Arial" w:cs="Arial"/>
      <w:color w:val="FFFFFF"/>
      <w:sz w:val="18"/>
      <w:szCs w:val="24"/>
      <w:lang w:eastAsia="en-US"/>
    </w:rPr>
  </w:style>
  <w:style w:type="paragraph" w:customStyle="1" w:styleId="CD2F07D1AAFC45F0AF084010F3C19738">
    <w:name w:val="CD2F07D1AAFC45F0AF084010F3C19738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81085CB4F2CC497FB8727577C284F545">
    <w:name w:val="81085CB4F2CC497FB8727577C284F545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8B91F67E10054FF4BF3103306183E856">
    <w:name w:val="8B91F67E10054FF4BF3103306183E856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9D71415912194CC6AC10FE5E0E2ADFA3">
    <w:name w:val="9D71415912194CC6AC10FE5E0E2ADFA3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2C0F1A7873CA40A4938C750BE5940785">
    <w:name w:val="2C0F1A7873CA40A4938C750BE5940785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68119AEFFFE640F7BB67220537AA18A9">
    <w:name w:val="68119AEFFFE640F7BB67220537AA18A9"/>
    <w:rsid w:val="00A44B82"/>
    <w:pPr>
      <w:spacing w:after="0" w:line="240" w:lineRule="auto"/>
    </w:pPr>
    <w:rPr>
      <w:rFonts w:ascii="Arial" w:eastAsia="Times New Roman" w:hAnsi="Arial" w:cs="Arial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SEG FX 1">
      <a:dk1>
        <a:srgbClr val="000000"/>
      </a:dk1>
      <a:lt1>
        <a:srgbClr val="FFFFFF"/>
      </a:lt1>
      <a:dk2>
        <a:srgbClr val="001DFF"/>
      </a:dk2>
      <a:lt2>
        <a:srgbClr val="FFFFFF"/>
      </a:lt2>
      <a:accent1>
        <a:srgbClr val="001DFF"/>
      </a:accent1>
      <a:accent2>
        <a:srgbClr val="00CFD3"/>
      </a:accent2>
      <a:accent3>
        <a:srgbClr val="9063CC"/>
      </a:accent3>
      <a:accent4>
        <a:srgbClr val="00C389"/>
      </a:accent4>
      <a:accent5>
        <a:srgbClr val="FF5000"/>
      </a:accent5>
      <a:accent6>
        <a:srgbClr val="FFC800"/>
      </a:accent6>
      <a:hlink>
        <a:srgbClr val="001DFF"/>
      </a:hlink>
      <a:folHlink>
        <a:srgbClr val="001D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29000">
              <a:schemeClr val="bg1">
                <a:alpha val="0"/>
              </a:schemeClr>
            </a:gs>
            <a:gs pos="71000">
              <a:schemeClr val="bg1">
                <a:alpha val="97744"/>
              </a:schemeClr>
            </a:gs>
          </a:gsLst>
          <a:lin ang="660000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995DE2995642929176F5AA76AE21" ma:contentTypeVersion="7" ma:contentTypeDescription="Create a new document." ma:contentTypeScope="" ma:versionID="6daa8331df337706ccb54587af595a3f">
  <xsd:schema xmlns:xsd="http://www.w3.org/2001/XMLSchema" xmlns:xs="http://www.w3.org/2001/XMLSchema" xmlns:p="http://schemas.microsoft.com/office/2006/metadata/properties" xmlns:ns2="7b748ebb-b25f-4326-ab9e-be6148f8e552" xmlns:ns3="6811a656-2038-4495-9973-2839a6bc412c" targetNamespace="http://schemas.microsoft.com/office/2006/metadata/properties" ma:root="true" ma:fieldsID="29c4daaa86eb122407e1011c9d378e52" ns2:_="" ns3:_="">
    <xsd:import namespace="7b748ebb-b25f-4326-ab9e-be6148f8e552"/>
    <xsd:import namespace="6811a656-2038-4495-9973-2839a6bc4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8ebb-b25f-4326-ab9e-be6148f8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a656-2038-4495-9973-2839a6bc4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11a656-2038-4495-9973-2839a6bc412c">
      <UserInfo>
        <DisplayName>Ranasinghe, Neil</DisplayName>
        <AccountId>263</AccountId>
        <AccountType/>
      </UserInfo>
      <UserInfo>
        <DisplayName>Dudley, Christopher</DisplayName>
        <AccountId>469</AccountId>
        <AccountType/>
      </UserInfo>
      <UserInfo>
        <DisplayName>Pitse, Omphemetse</DisplayName>
        <AccountId>919</AccountId>
        <AccountType/>
      </UserInfo>
      <UserInfo>
        <DisplayName>Christie, Chanel</DisplayName>
        <AccountId>223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190F67-4A1F-4792-8D6B-26A763C88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BB6FF-CA92-45DD-BA76-9726A4AD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48ebb-b25f-4326-ab9e-be6148f8e552"/>
    <ds:schemaRef ds:uri="6811a656-2038-4495-9973-2839a6bc4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277B6-BD86-4B8E-859F-090B28E037F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811a656-2038-4495-9973-2839a6bc412c"/>
    <ds:schemaRef ds:uri="7b748ebb-b25f-4326-ab9e-be6148f8e55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FX Short_Template Jul23.dotx</Template>
  <TotalTime>37</TotalTime>
  <Pages>6</Pages>
  <Words>1575</Words>
  <Characters>8995</Characters>
  <Application>Microsoft Office Word</Application>
  <DocSecurity>0</DocSecurity>
  <Lines>132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LSEG FX EU MTF Forwards Matching Liquidity Provider Incentive Agreement</dc:subject>
  <dc:creator>Neil Ranasinghe</dc:creator>
  <cp:keywords/>
  <dc:description/>
  <cp:lastModifiedBy>Ranasinghe, Neil</cp:lastModifiedBy>
  <cp:revision>8</cp:revision>
  <dcterms:created xsi:type="dcterms:W3CDTF">2023-09-19T09:34:00Z</dcterms:created>
  <dcterms:modified xsi:type="dcterms:W3CDTF">2023-11-14T18:59:00Z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ffedc7-8dd7-4346-b906-eaa072ee5258_Enabled">
    <vt:lpwstr>true</vt:lpwstr>
  </property>
  <property fmtid="{D5CDD505-2E9C-101B-9397-08002B2CF9AE}" pid="3" name="MSIP_Label_16ffedc7-8dd7-4346-b906-eaa072ee5258_SetDate">
    <vt:lpwstr>2023-08-01T09:56:56Z</vt:lpwstr>
  </property>
  <property fmtid="{D5CDD505-2E9C-101B-9397-08002B2CF9AE}" pid="4" name="MSIP_Label_16ffedc7-8dd7-4346-b906-eaa072ee5258_Method">
    <vt:lpwstr>Standard</vt:lpwstr>
  </property>
  <property fmtid="{D5CDD505-2E9C-101B-9397-08002B2CF9AE}" pid="5" name="MSIP_Label_16ffedc7-8dd7-4346-b906-eaa072ee5258_Name">
    <vt:lpwstr>Corporate</vt:lpwstr>
  </property>
  <property fmtid="{D5CDD505-2E9C-101B-9397-08002B2CF9AE}" pid="6" name="MSIP_Label_16ffedc7-8dd7-4346-b906-eaa072ee5258_SiteId">
    <vt:lpwstr>287e9f0e-91ec-4cf0-b7a4-c63898072181</vt:lpwstr>
  </property>
  <property fmtid="{D5CDD505-2E9C-101B-9397-08002B2CF9AE}" pid="7" name="MSIP_Label_16ffedc7-8dd7-4346-b906-eaa072ee5258_ActionId">
    <vt:lpwstr>2bd884c7-588a-49f1-a4dc-398f13bf9d65</vt:lpwstr>
  </property>
  <property fmtid="{D5CDD505-2E9C-101B-9397-08002B2CF9AE}" pid="8" name="MSIP_Label_16ffedc7-8dd7-4346-b906-eaa072ee5258_ContentBits">
    <vt:lpwstr>1</vt:lpwstr>
  </property>
  <property fmtid="{D5CDD505-2E9C-101B-9397-08002B2CF9AE}" pid="9" name="ContentTypeId">
    <vt:lpwstr>0x010100319A995DE2995642929176F5AA76AE21</vt:lpwstr>
  </property>
</Properties>
</file>